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C9835" w14:textId="320D8686" w:rsidR="00015760" w:rsidRPr="003F223C" w:rsidRDefault="00431843" w:rsidP="00431843">
      <w:pPr>
        <w:jc w:val="center"/>
        <w:rPr>
          <w:b/>
          <w:bCs/>
          <w:i/>
          <w:iCs/>
          <w:sz w:val="32"/>
          <w:szCs w:val="32"/>
          <w:u w:val="single"/>
        </w:rPr>
      </w:pPr>
      <w:r w:rsidRPr="003F223C">
        <w:rPr>
          <w:b/>
          <w:bCs/>
          <w:i/>
          <w:iCs/>
          <w:sz w:val="32"/>
          <w:szCs w:val="32"/>
          <w:u w:val="single"/>
        </w:rPr>
        <w:t>PORTER  5 FORCES ANALYSIS GUIDELINES</w:t>
      </w:r>
    </w:p>
    <w:p w14:paraId="4E0DAC3F" w14:textId="242548F2" w:rsidR="00E5290B" w:rsidRDefault="00E5290B" w:rsidP="000D27D5">
      <w:pPr>
        <w:ind w:left="0" w:right="-568"/>
      </w:pPr>
      <w:r w:rsidRPr="00E5290B">
        <w:t>In 1980, the influential work "Competitive Strategy" by Michael Porter had a profound impact on the perspectives of both academics and managers (Crowther, 2008</w:t>
      </w:r>
      <w:r>
        <w:rPr>
          <w:rStyle w:val="Rimandonotaapidipagina"/>
        </w:rPr>
        <w:footnoteReference w:id="1"/>
      </w:r>
      <w:r w:rsidRPr="00E5290B">
        <w:t xml:space="preserve">; </w:t>
      </w:r>
      <w:proofErr w:type="spellStart"/>
      <w:r w:rsidRPr="00E5290B">
        <w:t>Magretta</w:t>
      </w:r>
      <w:proofErr w:type="spellEnd"/>
      <w:r w:rsidRPr="00E5290B">
        <w:t>, 2012</w:t>
      </w:r>
      <w:r>
        <w:rPr>
          <w:rStyle w:val="Rimandonotaapidipagina"/>
        </w:rPr>
        <w:footnoteReference w:id="2"/>
      </w:r>
      <w:r w:rsidRPr="00E5290B">
        <w:t>). Among the fundamental concepts introduced in the first chapter was Porter's articulation of the "five forces" that mold the structure of industries and largely dictate the rules of competition and underlying profitability (Porter, 2008</w:t>
      </w:r>
      <w:r>
        <w:rPr>
          <w:rStyle w:val="Rimandonotaapidipagina"/>
        </w:rPr>
        <w:footnoteReference w:id="3"/>
      </w:r>
      <w:r w:rsidRPr="00E5290B">
        <w:t>). These forces encompass the threats posed by competitive rivalry, influential buyers, dominant suppliers, potential new entrants, and substitute products. As stated by Porter (1980), "the combined strength of these forces determines the ultimate profit potential within an industry." However, what particularly captivates Porter, as highlighted in his 2008 update of the five forces, is the ability to employ this framework to comprehend the strategic implications for individual firms operating within a specific industry.</w:t>
      </w:r>
    </w:p>
    <w:p w14:paraId="62FF6E57" w14:textId="77777777" w:rsidR="000D27D5" w:rsidRPr="000D27D5" w:rsidRDefault="000D27D5" w:rsidP="000D27D5">
      <w:pPr>
        <w:ind w:left="0" w:right="-568"/>
      </w:pPr>
    </w:p>
    <w:tbl>
      <w:tblPr>
        <w:tblStyle w:val="Grigliatabella"/>
        <w:tblW w:w="10201" w:type="dxa"/>
        <w:tblLook w:val="04A0" w:firstRow="1" w:lastRow="0" w:firstColumn="1" w:lastColumn="0" w:noHBand="0" w:noVBand="1"/>
      </w:tblPr>
      <w:tblGrid>
        <w:gridCol w:w="5240"/>
        <w:gridCol w:w="4961"/>
      </w:tblGrid>
      <w:tr w:rsidR="00431843" w:rsidRPr="00431843" w14:paraId="3E41B629" w14:textId="77777777" w:rsidTr="00E5290B">
        <w:trPr>
          <w:trHeight w:val="684"/>
        </w:trPr>
        <w:tc>
          <w:tcPr>
            <w:tcW w:w="5240" w:type="dxa"/>
            <w:shd w:val="clear" w:color="auto" w:fill="F4B083" w:themeFill="accent2" w:themeFillTint="99"/>
            <w:hideMark/>
          </w:tcPr>
          <w:p w14:paraId="0431CEDD" w14:textId="77777777" w:rsidR="00431843" w:rsidRPr="00431843" w:rsidRDefault="00431843" w:rsidP="00431843">
            <w:pPr>
              <w:spacing w:after="0"/>
              <w:ind w:left="0"/>
              <w:jc w:val="center"/>
              <w:rPr>
                <w:rFonts w:ascii="Calibri" w:eastAsia="Times New Roman" w:hAnsi="Calibri" w:cs="Calibri"/>
                <w:b/>
                <w:bCs/>
                <w:i/>
                <w:iCs/>
                <w:color w:val="000000"/>
                <w:kern w:val="0"/>
                <w:sz w:val="28"/>
                <w:szCs w:val="28"/>
                <w:u w:val="single"/>
                <w:lang w:eastAsia="en-GB"/>
                <w14:ligatures w14:val="none"/>
              </w:rPr>
            </w:pPr>
            <w:r w:rsidRPr="00431843">
              <w:rPr>
                <w:rFonts w:ascii="Calibri" w:eastAsia="Times New Roman" w:hAnsi="Calibri" w:cs="Calibri"/>
                <w:b/>
                <w:bCs/>
                <w:i/>
                <w:iCs/>
                <w:color w:val="000000"/>
                <w:kern w:val="0"/>
                <w:sz w:val="28"/>
                <w:szCs w:val="28"/>
                <w:u w:val="single"/>
                <w:lang w:eastAsia="en-GB"/>
                <w14:ligatures w14:val="none"/>
              </w:rPr>
              <w:t xml:space="preserve">THREATS OF NEW ENTRANTS </w:t>
            </w:r>
          </w:p>
        </w:tc>
        <w:tc>
          <w:tcPr>
            <w:tcW w:w="4961" w:type="dxa"/>
          </w:tcPr>
          <w:p w14:paraId="2759E20C" w14:textId="583661C1" w:rsidR="00431843" w:rsidRPr="00431843" w:rsidRDefault="00431843" w:rsidP="00431843">
            <w:pPr>
              <w:spacing w:after="0"/>
              <w:ind w:left="0"/>
              <w:jc w:val="center"/>
              <w:rPr>
                <w:rFonts w:ascii="Calibri" w:eastAsia="Times New Roman" w:hAnsi="Calibri" w:cs="Calibri"/>
                <w:b/>
                <w:bCs/>
                <w:color w:val="000000"/>
                <w:kern w:val="0"/>
                <w:sz w:val="28"/>
                <w:szCs w:val="28"/>
                <w:lang w:eastAsia="en-GB"/>
                <w14:ligatures w14:val="none"/>
              </w:rPr>
            </w:pPr>
            <w:r w:rsidRPr="00431843">
              <w:rPr>
                <w:rFonts w:ascii="Calibri" w:eastAsia="Times New Roman" w:hAnsi="Calibri" w:cs="Calibri"/>
                <w:b/>
                <w:bCs/>
                <w:color w:val="000000"/>
                <w:kern w:val="0"/>
                <w:lang w:eastAsia="en-GB"/>
                <w14:ligatures w14:val="none"/>
              </w:rPr>
              <w:t xml:space="preserve">ANSWER WITH </w:t>
            </w:r>
            <w:r w:rsidR="000D27D5">
              <w:rPr>
                <w:rFonts w:ascii="Calibri" w:eastAsia="Times New Roman" w:hAnsi="Calibri" w:cs="Calibri"/>
                <w:b/>
                <w:bCs/>
                <w:color w:val="000000"/>
                <w:kern w:val="0"/>
                <w:lang w:eastAsia="en-GB"/>
                <w14:ligatures w14:val="none"/>
              </w:rPr>
              <w:t>SPECIFIC</w:t>
            </w:r>
            <w:r w:rsidRPr="00431843">
              <w:rPr>
                <w:rFonts w:ascii="Calibri" w:eastAsia="Times New Roman" w:hAnsi="Calibri" w:cs="Calibri"/>
                <w:b/>
                <w:bCs/>
                <w:color w:val="000000"/>
                <w:kern w:val="0"/>
                <w:lang w:eastAsia="en-GB"/>
                <w14:ligatures w14:val="none"/>
              </w:rPr>
              <w:t xml:space="preserve"> DATA RELATED TO THE INNOVATION/YOUR ACTIVITY</w:t>
            </w:r>
          </w:p>
        </w:tc>
      </w:tr>
      <w:tr w:rsidR="00431843" w:rsidRPr="00431843" w14:paraId="2FA0427F" w14:textId="77777777" w:rsidTr="00E5290B">
        <w:trPr>
          <w:trHeight w:val="319"/>
        </w:trPr>
        <w:tc>
          <w:tcPr>
            <w:tcW w:w="5240" w:type="dxa"/>
            <w:noWrap/>
            <w:hideMark/>
          </w:tcPr>
          <w:p w14:paraId="5808E1D5" w14:textId="77777777" w:rsidR="00431843" w:rsidRPr="00431843" w:rsidRDefault="00431843" w:rsidP="00431843">
            <w:pPr>
              <w:spacing w:after="0"/>
              <w:ind w:left="0"/>
              <w:jc w:val="left"/>
              <w:rPr>
                <w:rFonts w:ascii="Calibri" w:eastAsia="Times New Roman" w:hAnsi="Calibri" w:cs="Calibri"/>
                <w:b/>
                <w:bCs/>
                <w:kern w:val="0"/>
                <w:sz w:val="24"/>
                <w:szCs w:val="24"/>
                <w:lang w:eastAsia="en-GB"/>
                <w14:ligatures w14:val="none"/>
              </w:rPr>
            </w:pPr>
            <w:r w:rsidRPr="00431843">
              <w:rPr>
                <w:rFonts w:ascii="Calibri" w:eastAsia="Times New Roman" w:hAnsi="Calibri" w:cs="Calibri"/>
                <w:b/>
                <w:bCs/>
                <w:kern w:val="0"/>
                <w:sz w:val="24"/>
                <w:szCs w:val="24"/>
                <w:lang w:eastAsia="en-GB"/>
                <w14:ligatures w14:val="none"/>
              </w:rPr>
              <w:t>Evaluation of how the entry of new competitors in the market can influence the organization in relation to:</w:t>
            </w:r>
          </w:p>
        </w:tc>
        <w:tc>
          <w:tcPr>
            <w:tcW w:w="4961" w:type="dxa"/>
            <w:hideMark/>
          </w:tcPr>
          <w:p w14:paraId="67CC9C97" w14:textId="77777777" w:rsidR="00431843" w:rsidRPr="00431843" w:rsidRDefault="00431843" w:rsidP="00431843">
            <w:pPr>
              <w:spacing w:after="0"/>
              <w:ind w:left="0"/>
              <w:jc w:val="left"/>
              <w:rPr>
                <w:rFonts w:ascii="Times New Roman" w:eastAsia="Times New Roman" w:hAnsi="Times New Roman" w:cs="Times New Roman"/>
                <w:kern w:val="0"/>
                <w:sz w:val="20"/>
                <w:szCs w:val="20"/>
                <w:lang w:eastAsia="en-GB"/>
                <w14:ligatures w14:val="none"/>
              </w:rPr>
            </w:pPr>
          </w:p>
        </w:tc>
      </w:tr>
      <w:tr w:rsidR="00431843" w:rsidRPr="00431843" w14:paraId="66D7484D" w14:textId="77777777" w:rsidTr="00E5290B">
        <w:trPr>
          <w:trHeight w:val="319"/>
        </w:trPr>
        <w:tc>
          <w:tcPr>
            <w:tcW w:w="5240" w:type="dxa"/>
            <w:noWrap/>
            <w:hideMark/>
          </w:tcPr>
          <w:p w14:paraId="3223BC5B" w14:textId="77777777" w:rsidR="00431843" w:rsidRPr="00431843" w:rsidRDefault="00431843" w:rsidP="00431843">
            <w:pPr>
              <w:spacing w:after="0"/>
              <w:ind w:left="0"/>
              <w:jc w:val="left"/>
              <w:rPr>
                <w:rFonts w:ascii="Calibri" w:eastAsia="Times New Roman" w:hAnsi="Calibri" w:cs="Calibri"/>
                <w:kern w:val="0"/>
                <w:sz w:val="24"/>
                <w:szCs w:val="24"/>
                <w:lang w:eastAsia="en-GB"/>
                <w14:ligatures w14:val="none"/>
              </w:rPr>
            </w:pPr>
            <w:r w:rsidRPr="00431843">
              <w:rPr>
                <w:rFonts w:ascii="Calibri" w:eastAsia="Times New Roman" w:hAnsi="Calibri" w:cs="Calibri"/>
                <w:kern w:val="0"/>
                <w:sz w:val="24"/>
                <w:szCs w:val="24"/>
                <w:lang w:eastAsia="en-GB"/>
                <w14:ligatures w14:val="none"/>
              </w:rPr>
              <w:t>Access to distribution channels and raw materials.</w:t>
            </w:r>
          </w:p>
        </w:tc>
        <w:tc>
          <w:tcPr>
            <w:tcW w:w="4961" w:type="dxa"/>
            <w:hideMark/>
          </w:tcPr>
          <w:p w14:paraId="1FFDCE12" w14:textId="77777777" w:rsidR="00431843" w:rsidRPr="00431843" w:rsidRDefault="00431843" w:rsidP="00431843">
            <w:pPr>
              <w:spacing w:after="0"/>
              <w:ind w:left="0"/>
              <w:jc w:val="left"/>
              <w:rPr>
                <w:rFonts w:ascii="Times New Roman" w:eastAsia="Times New Roman" w:hAnsi="Times New Roman" w:cs="Times New Roman"/>
                <w:kern w:val="0"/>
                <w:sz w:val="20"/>
                <w:szCs w:val="20"/>
                <w:lang w:eastAsia="en-GB"/>
                <w14:ligatures w14:val="none"/>
              </w:rPr>
            </w:pPr>
          </w:p>
        </w:tc>
      </w:tr>
      <w:tr w:rsidR="00431843" w:rsidRPr="00431843" w14:paraId="4373E902" w14:textId="77777777" w:rsidTr="00E5290B">
        <w:trPr>
          <w:trHeight w:val="319"/>
        </w:trPr>
        <w:tc>
          <w:tcPr>
            <w:tcW w:w="5240" w:type="dxa"/>
            <w:noWrap/>
            <w:hideMark/>
          </w:tcPr>
          <w:p w14:paraId="6BFDA1EA" w14:textId="77777777" w:rsidR="00431843" w:rsidRPr="00431843" w:rsidRDefault="00431843" w:rsidP="00431843">
            <w:pPr>
              <w:spacing w:after="0"/>
              <w:ind w:left="0"/>
              <w:jc w:val="left"/>
              <w:rPr>
                <w:rFonts w:ascii="Calibri" w:eastAsia="Times New Roman" w:hAnsi="Calibri" w:cs="Calibri"/>
                <w:kern w:val="0"/>
                <w:sz w:val="24"/>
                <w:szCs w:val="24"/>
                <w:lang w:eastAsia="en-GB"/>
                <w14:ligatures w14:val="none"/>
              </w:rPr>
            </w:pPr>
            <w:r w:rsidRPr="00431843">
              <w:rPr>
                <w:rFonts w:ascii="Calibri" w:eastAsia="Times New Roman" w:hAnsi="Calibri" w:cs="Calibri"/>
                <w:kern w:val="0"/>
                <w:sz w:val="24"/>
                <w:szCs w:val="24"/>
                <w:lang w:eastAsia="en-GB"/>
                <w14:ligatures w14:val="none"/>
              </w:rPr>
              <w:t>Use and technological adaptations.</w:t>
            </w:r>
          </w:p>
        </w:tc>
        <w:tc>
          <w:tcPr>
            <w:tcW w:w="4961" w:type="dxa"/>
            <w:hideMark/>
          </w:tcPr>
          <w:p w14:paraId="7C397614" w14:textId="77777777" w:rsidR="00431843" w:rsidRPr="00431843" w:rsidRDefault="00431843" w:rsidP="00431843">
            <w:pPr>
              <w:spacing w:after="0"/>
              <w:ind w:left="0"/>
              <w:jc w:val="left"/>
              <w:rPr>
                <w:rFonts w:ascii="Times New Roman" w:eastAsia="Times New Roman" w:hAnsi="Times New Roman" w:cs="Times New Roman"/>
                <w:kern w:val="0"/>
                <w:sz w:val="20"/>
                <w:szCs w:val="20"/>
                <w:lang w:eastAsia="en-GB"/>
                <w14:ligatures w14:val="none"/>
              </w:rPr>
            </w:pPr>
          </w:p>
        </w:tc>
      </w:tr>
      <w:tr w:rsidR="00431843" w:rsidRPr="00431843" w14:paraId="408CF810" w14:textId="77777777" w:rsidTr="00E5290B">
        <w:trPr>
          <w:trHeight w:val="319"/>
        </w:trPr>
        <w:tc>
          <w:tcPr>
            <w:tcW w:w="5240" w:type="dxa"/>
            <w:noWrap/>
            <w:hideMark/>
          </w:tcPr>
          <w:p w14:paraId="50BEC26C" w14:textId="77777777" w:rsidR="00431843" w:rsidRPr="00431843" w:rsidRDefault="00431843" w:rsidP="00431843">
            <w:pPr>
              <w:spacing w:after="0"/>
              <w:ind w:left="0"/>
              <w:jc w:val="left"/>
              <w:rPr>
                <w:rFonts w:ascii="Calibri" w:eastAsia="Times New Roman" w:hAnsi="Calibri" w:cs="Calibri"/>
                <w:kern w:val="0"/>
                <w:sz w:val="24"/>
                <w:szCs w:val="24"/>
                <w:lang w:eastAsia="en-GB"/>
                <w14:ligatures w14:val="none"/>
              </w:rPr>
            </w:pPr>
            <w:r w:rsidRPr="00431843">
              <w:rPr>
                <w:rFonts w:ascii="Calibri" w:eastAsia="Times New Roman" w:hAnsi="Calibri" w:cs="Calibri"/>
                <w:kern w:val="0"/>
                <w:sz w:val="24"/>
                <w:szCs w:val="24"/>
                <w:lang w:eastAsia="en-GB"/>
                <w14:ligatures w14:val="none"/>
              </w:rPr>
              <w:t>Know How and patents.</w:t>
            </w:r>
          </w:p>
        </w:tc>
        <w:tc>
          <w:tcPr>
            <w:tcW w:w="4961" w:type="dxa"/>
            <w:hideMark/>
          </w:tcPr>
          <w:p w14:paraId="41359B20" w14:textId="77777777" w:rsidR="00431843" w:rsidRPr="00431843" w:rsidRDefault="00431843" w:rsidP="00431843">
            <w:pPr>
              <w:spacing w:after="0"/>
              <w:ind w:left="0"/>
              <w:jc w:val="left"/>
              <w:rPr>
                <w:rFonts w:ascii="Times New Roman" w:eastAsia="Times New Roman" w:hAnsi="Times New Roman" w:cs="Times New Roman"/>
                <w:kern w:val="0"/>
                <w:sz w:val="20"/>
                <w:szCs w:val="20"/>
                <w:lang w:eastAsia="en-GB"/>
                <w14:ligatures w14:val="none"/>
              </w:rPr>
            </w:pPr>
          </w:p>
        </w:tc>
      </w:tr>
      <w:tr w:rsidR="00431843" w:rsidRPr="00431843" w14:paraId="684F03BB" w14:textId="77777777" w:rsidTr="00E5290B">
        <w:trPr>
          <w:trHeight w:val="319"/>
        </w:trPr>
        <w:tc>
          <w:tcPr>
            <w:tcW w:w="5240" w:type="dxa"/>
            <w:noWrap/>
            <w:hideMark/>
          </w:tcPr>
          <w:p w14:paraId="7B1544B1" w14:textId="77777777" w:rsidR="00431843" w:rsidRPr="00431843" w:rsidRDefault="00431843" w:rsidP="00431843">
            <w:pPr>
              <w:spacing w:after="0"/>
              <w:ind w:left="0"/>
              <w:jc w:val="left"/>
              <w:rPr>
                <w:rFonts w:ascii="Calibri" w:eastAsia="Times New Roman" w:hAnsi="Calibri" w:cs="Calibri"/>
                <w:kern w:val="0"/>
                <w:sz w:val="24"/>
                <w:szCs w:val="24"/>
                <w:lang w:eastAsia="en-GB"/>
                <w14:ligatures w14:val="none"/>
              </w:rPr>
            </w:pPr>
            <w:r w:rsidRPr="00431843">
              <w:rPr>
                <w:rFonts w:ascii="Calibri" w:eastAsia="Times New Roman" w:hAnsi="Calibri" w:cs="Calibri"/>
                <w:kern w:val="0"/>
                <w:sz w:val="24"/>
                <w:szCs w:val="24"/>
                <w:lang w:eastAsia="en-GB"/>
                <w14:ligatures w14:val="none"/>
              </w:rPr>
              <w:t>Brand image and product / service differentiation.</w:t>
            </w:r>
          </w:p>
        </w:tc>
        <w:tc>
          <w:tcPr>
            <w:tcW w:w="4961" w:type="dxa"/>
            <w:hideMark/>
          </w:tcPr>
          <w:p w14:paraId="79F9340E" w14:textId="77777777" w:rsidR="00431843" w:rsidRPr="00431843" w:rsidRDefault="00431843" w:rsidP="00431843">
            <w:pPr>
              <w:spacing w:after="0"/>
              <w:ind w:left="0"/>
              <w:jc w:val="left"/>
              <w:rPr>
                <w:rFonts w:ascii="Times New Roman" w:eastAsia="Times New Roman" w:hAnsi="Times New Roman" w:cs="Times New Roman"/>
                <w:kern w:val="0"/>
                <w:sz w:val="20"/>
                <w:szCs w:val="20"/>
                <w:lang w:eastAsia="en-GB"/>
                <w14:ligatures w14:val="none"/>
              </w:rPr>
            </w:pPr>
          </w:p>
        </w:tc>
      </w:tr>
      <w:tr w:rsidR="00431843" w:rsidRPr="00431843" w14:paraId="5B81595F" w14:textId="77777777" w:rsidTr="00E5290B">
        <w:trPr>
          <w:trHeight w:val="319"/>
        </w:trPr>
        <w:tc>
          <w:tcPr>
            <w:tcW w:w="5240" w:type="dxa"/>
            <w:noWrap/>
            <w:hideMark/>
          </w:tcPr>
          <w:p w14:paraId="3A4F0682" w14:textId="77777777" w:rsidR="00431843" w:rsidRPr="00431843" w:rsidRDefault="00431843" w:rsidP="00431843">
            <w:pPr>
              <w:spacing w:after="0"/>
              <w:ind w:left="0"/>
              <w:jc w:val="left"/>
              <w:rPr>
                <w:rFonts w:ascii="Calibri" w:eastAsia="Times New Roman" w:hAnsi="Calibri" w:cs="Calibri"/>
                <w:kern w:val="0"/>
                <w:sz w:val="24"/>
                <w:szCs w:val="24"/>
                <w:lang w:eastAsia="en-GB"/>
                <w14:ligatures w14:val="none"/>
              </w:rPr>
            </w:pPr>
            <w:r w:rsidRPr="00431843">
              <w:rPr>
                <w:rFonts w:ascii="Calibri" w:eastAsia="Times New Roman" w:hAnsi="Calibri" w:cs="Calibri"/>
                <w:kern w:val="0"/>
                <w:sz w:val="24"/>
                <w:szCs w:val="24"/>
                <w:lang w:eastAsia="en-GB"/>
                <w14:ligatures w14:val="none"/>
              </w:rPr>
              <w:t>Investment needs and adaptation costs.</w:t>
            </w:r>
          </w:p>
        </w:tc>
        <w:tc>
          <w:tcPr>
            <w:tcW w:w="4961" w:type="dxa"/>
            <w:hideMark/>
          </w:tcPr>
          <w:p w14:paraId="04B98072" w14:textId="77777777" w:rsidR="00431843" w:rsidRPr="00431843" w:rsidRDefault="00431843" w:rsidP="00431843">
            <w:pPr>
              <w:spacing w:after="0"/>
              <w:ind w:left="0"/>
              <w:jc w:val="left"/>
              <w:rPr>
                <w:rFonts w:ascii="Times New Roman" w:eastAsia="Times New Roman" w:hAnsi="Times New Roman" w:cs="Times New Roman"/>
                <w:kern w:val="0"/>
                <w:sz w:val="20"/>
                <w:szCs w:val="20"/>
                <w:lang w:eastAsia="en-GB"/>
                <w14:ligatures w14:val="none"/>
              </w:rPr>
            </w:pPr>
          </w:p>
        </w:tc>
      </w:tr>
      <w:tr w:rsidR="00431843" w:rsidRPr="00431843" w14:paraId="3A26B4AA" w14:textId="77777777" w:rsidTr="00E5290B">
        <w:trPr>
          <w:trHeight w:val="319"/>
        </w:trPr>
        <w:tc>
          <w:tcPr>
            <w:tcW w:w="5240" w:type="dxa"/>
            <w:noWrap/>
            <w:hideMark/>
          </w:tcPr>
          <w:p w14:paraId="0C4E880D" w14:textId="77777777" w:rsidR="00431843" w:rsidRPr="00431843" w:rsidRDefault="00431843" w:rsidP="00431843">
            <w:pPr>
              <w:spacing w:after="0"/>
              <w:ind w:left="0"/>
              <w:jc w:val="left"/>
              <w:rPr>
                <w:rFonts w:ascii="Calibri" w:eastAsia="Times New Roman" w:hAnsi="Calibri" w:cs="Calibri"/>
                <w:kern w:val="0"/>
                <w:sz w:val="24"/>
                <w:szCs w:val="24"/>
                <w:lang w:eastAsia="en-GB"/>
                <w14:ligatures w14:val="none"/>
              </w:rPr>
            </w:pPr>
            <w:r w:rsidRPr="00431843">
              <w:rPr>
                <w:rFonts w:ascii="Calibri" w:eastAsia="Times New Roman" w:hAnsi="Calibri" w:cs="Calibri"/>
                <w:kern w:val="0"/>
                <w:sz w:val="24"/>
                <w:szCs w:val="24"/>
                <w:lang w:eastAsia="en-GB"/>
                <w14:ligatures w14:val="none"/>
              </w:rPr>
              <w:t>Regulatory requirements for new entrants.</w:t>
            </w:r>
          </w:p>
        </w:tc>
        <w:tc>
          <w:tcPr>
            <w:tcW w:w="4961" w:type="dxa"/>
            <w:hideMark/>
          </w:tcPr>
          <w:p w14:paraId="3BC61BD6" w14:textId="77777777" w:rsidR="00431843" w:rsidRPr="00431843" w:rsidRDefault="00431843" w:rsidP="00431843">
            <w:pPr>
              <w:spacing w:after="0"/>
              <w:ind w:left="0"/>
              <w:jc w:val="left"/>
              <w:rPr>
                <w:rFonts w:ascii="Times New Roman" w:eastAsia="Times New Roman" w:hAnsi="Times New Roman" w:cs="Times New Roman"/>
                <w:kern w:val="0"/>
                <w:sz w:val="20"/>
                <w:szCs w:val="20"/>
                <w:lang w:eastAsia="en-GB"/>
                <w14:ligatures w14:val="none"/>
              </w:rPr>
            </w:pPr>
          </w:p>
        </w:tc>
      </w:tr>
      <w:tr w:rsidR="00431843" w:rsidRPr="00431843" w14:paraId="7AF588A3" w14:textId="77777777" w:rsidTr="00E5290B">
        <w:trPr>
          <w:trHeight w:val="885"/>
        </w:trPr>
        <w:tc>
          <w:tcPr>
            <w:tcW w:w="5240" w:type="dxa"/>
            <w:shd w:val="clear" w:color="auto" w:fill="8EAADB" w:themeFill="accent1" w:themeFillTint="99"/>
            <w:noWrap/>
            <w:hideMark/>
          </w:tcPr>
          <w:p w14:paraId="576F3D3C" w14:textId="77777777" w:rsidR="00431843" w:rsidRPr="00431843" w:rsidRDefault="00431843" w:rsidP="00431843">
            <w:pPr>
              <w:spacing w:after="0"/>
              <w:ind w:left="0"/>
              <w:jc w:val="center"/>
              <w:rPr>
                <w:rFonts w:ascii="Times New Roman" w:eastAsia="Times New Roman" w:hAnsi="Times New Roman" w:cs="Times New Roman"/>
                <w:kern w:val="0"/>
                <w:sz w:val="20"/>
                <w:szCs w:val="20"/>
                <w:lang w:eastAsia="en-GB"/>
                <w14:ligatures w14:val="none"/>
              </w:rPr>
            </w:pPr>
            <w:r w:rsidRPr="00431843">
              <w:rPr>
                <w:rFonts w:ascii="Calibri" w:eastAsia="Times New Roman" w:hAnsi="Calibri" w:cs="Calibri"/>
                <w:b/>
                <w:bCs/>
                <w:i/>
                <w:iCs/>
                <w:kern w:val="0"/>
                <w:sz w:val="28"/>
                <w:szCs w:val="28"/>
                <w:u w:val="single"/>
                <w:lang w:eastAsia="en-GB"/>
                <w14:ligatures w14:val="none"/>
              </w:rPr>
              <w:t>Bargaining power of suppliers</w:t>
            </w:r>
          </w:p>
        </w:tc>
        <w:tc>
          <w:tcPr>
            <w:tcW w:w="4961" w:type="dxa"/>
          </w:tcPr>
          <w:p w14:paraId="2C6D5F80" w14:textId="3163A9A0" w:rsidR="00431843" w:rsidRPr="00431843" w:rsidRDefault="00431843" w:rsidP="00431843">
            <w:pPr>
              <w:spacing w:after="0"/>
              <w:ind w:left="0"/>
              <w:jc w:val="center"/>
              <w:rPr>
                <w:rFonts w:ascii="Times New Roman" w:eastAsia="Times New Roman" w:hAnsi="Times New Roman" w:cs="Times New Roman"/>
                <w:kern w:val="0"/>
                <w:sz w:val="20"/>
                <w:szCs w:val="20"/>
                <w:lang w:eastAsia="en-GB"/>
                <w14:ligatures w14:val="none"/>
              </w:rPr>
            </w:pPr>
          </w:p>
        </w:tc>
      </w:tr>
      <w:tr w:rsidR="00431843" w:rsidRPr="00431843" w14:paraId="6AF29EE3" w14:textId="77777777" w:rsidTr="00E5290B">
        <w:trPr>
          <w:trHeight w:val="319"/>
        </w:trPr>
        <w:tc>
          <w:tcPr>
            <w:tcW w:w="5240" w:type="dxa"/>
            <w:noWrap/>
            <w:hideMark/>
          </w:tcPr>
          <w:p w14:paraId="532CA91F" w14:textId="380FBC48" w:rsidR="00431843" w:rsidRPr="00431843" w:rsidRDefault="00431843" w:rsidP="00431843">
            <w:pPr>
              <w:spacing w:after="0"/>
              <w:ind w:left="0"/>
              <w:jc w:val="left"/>
              <w:rPr>
                <w:rFonts w:ascii="Calibri" w:eastAsia="Times New Roman" w:hAnsi="Calibri" w:cs="Calibri"/>
                <w:b/>
                <w:bCs/>
                <w:kern w:val="0"/>
                <w:sz w:val="24"/>
                <w:szCs w:val="24"/>
                <w:lang w:eastAsia="en-GB"/>
                <w14:ligatures w14:val="none"/>
              </w:rPr>
            </w:pPr>
            <w:r w:rsidRPr="00431843">
              <w:rPr>
                <w:rFonts w:ascii="Calibri" w:eastAsia="Times New Roman" w:hAnsi="Calibri" w:cs="Calibri"/>
                <w:b/>
                <w:bCs/>
                <w:kern w:val="0"/>
                <w:sz w:val="24"/>
                <w:szCs w:val="24"/>
                <w:lang w:eastAsia="en-GB"/>
                <w14:ligatures w14:val="none"/>
              </w:rPr>
              <w:t>Evaluation of the bargaining power of suppliers for the following aspects</w:t>
            </w:r>
            <w:r>
              <w:rPr>
                <w:rFonts w:ascii="Calibri" w:eastAsia="Times New Roman" w:hAnsi="Calibri" w:cs="Calibri"/>
                <w:b/>
                <w:bCs/>
                <w:kern w:val="0"/>
                <w:sz w:val="24"/>
                <w:szCs w:val="24"/>
                <w:lang w:eastAsia="en-GB"/>
                <w14:ligatures w14:val="none"/>
              </w:rPr>
              <w:t>:</w:t>
            </w:r>
          </w:p>
        </w:tc>
        <w:tc>
          <w:tcPr>
            <w:tcW w:w="4961" w:type="dxa"/>
            <w:hideMark/>
          </w:tcPr>
          <w:p w14:paraId="7360FDB9" w14:textId="77777777" w:rsidR="00431843" w:rsidRPr="00431843" w:rsidRDefault="00431843" w:rsidP="00431843">
            <w:pPr>
              <w:spacing w:after="0"/>
              <w:ind w:left="0"/>
              <w:jc w:val="left"/>
              <w:rPr>
                <w:rFonts w:ascii="Times New Roman" w:eastAsia="Times New Roman" w:hAnsi="Times New Roman" w:cs="Times New Roman"/>
                <w:kern w:val="0"/>
                <w:sz w:val="20"/>
                <w:szCs w:val="20"/>
                <w:lang w:eastAsia="en-GB"/>
                <w14:ligatures w14:val="none"/>
              </w:rPr>
            </w:pPr>
          </w:p>
        </w:tc>
      </w:tr>
      <w:tr w:rsidR="00431843" w:rsidRPr="00431843" w14:paraId="3F2514D0" w14:textId="77777777" w:rsidTr="00E5290B">
        <w:trPr>
          <w:trHeight w:val="319"/>
        </w:trPr>
        <w:tc>
          <w:tcPr>
            <w:tcW w:w="5240" w:type="dxa"/>
            <w:noWrap/>
            <w:hideMark/>
          </w:tcPr>
          <w:p w14:paraId="2024E4D7" w14:textId="77777777" w:rsidR="00431843" w:rsidRPr="00431843" w:rsidRDefault="00431843" w:rsidP="00431843">
            <w:pPr>
              <w:spacing w:after="0"/>
              <w:ind w:left="0"/>
              <w:jc w:val="left"/>
              <w:rPr>
                <w:rFonts w:ascii="Calibri" w:eastAsia="Times New Roman" w:hAnsi="Calibri" w:cs="Calibri"/>
                <w:kern w:val="0"/>
                <w:sz w:val="24"/>
                <w:szCs w:val="24"/>
                <w:lang w:eastAsia="en-GB"/>
                <w14:ligatures w14:val="none"/>
              </w:rPr>
            </w:pPr>
            <w:r w:rsidRPr="00431843">
              <w:rPr>
                <w:rFonts w:ascii="Calibri" w:eastAsia="Times New Roman" w:hAnsi="Calibri" w:cs="Calibri"/>
                <w:kern w:val="0"/>
                <w:sz w:val="24"/>
                <w:szCs w:val="24"/>
                <w:lang w:eastAsia="en-GB"/>
                <w14:ligatures w14:val="none"/>
              </w:rPr>
              <w:t>Degree of dependence of the supplier or in relation to the exclusivity in the supply.</w:t>
            </w:r>
          </w:p>
        </w:tc>
        <w:tc>
          <w:tcPr>
            <w:tcW w:w="4961" w:type="dxa"/>
            <w:hideMark/>
          </w:tcPr>
          <w:p w14:paraId="426BDDB4" w14:textId="77777777" w:rsidR="00431843" w:rsidRPr="00431843" w:rsidRDefault="00431843" w:rsidP="00431843">
            <w:pPr>
              <w:spacing w:after="0"/>
              <w:ind w:left="0"/>
              <w:jc w:val="left"/>
              <w:rPr>
                <w:rFonts w:ascii="Times New Roman" w:eastAsia="Times New Roman" w:hAnsi="Times New Roman" w:cs="Times New Roman"/>
                <w:kern w:val="0"/>
                <w:sz w:val="20"/>
                <w:szCs w:val="20"/>
                <w:lang w:eastAsia="en-GB"/>
                <w14:ligatures w14:val="none"/>
              </w:rPr>
            </w:pPr>
          </w:p>
        </w:tc>
      </w:tr>
      <w:tr w:rsidR="00431843" w:rsidRPr="00431843" w14:paraId="5212DCAE" w14:textId="77777777" w:rsidTr="00E5290B">
        <w:trPr>
          <w:trHeight w:val="319"/>
        </w:trPr>
        <w:tc>
          <w:tcPr>
            <w:tcW w:w="5240" w:type="dxa"/>
            <w:noWrap/>
            <w:hideMark/>
          </w:tcPr>
          <w:p w14:paraId="0C9C41EA" w14:textId="77777777" w:rsidR="00431843" w:rsidRPr="00431843" w:rsidRDefault="00431843" w:rsidP="00431843">
            <w:pPr>
              <w:spacing w:after="0"/>
              <w:ind w:left="0"/>
              <w:jc w:val="left"/>
              <w:rPr>
                <w:rFonts w:ascii="Calibri" w:eastAsia="Times New Roman" w:hAnsi="Calibri" w:cs="Calibri"/>
                <w:kern w:val="0"/>
                <w:sz w:val="24"/>
                <w:szCs w:val="24"/>
                <w:lang w:eastAsia="en-GB"/>
                <w14:ligatures w14:val="none"/>
              </w:rPr>
            </w:pPr>
            <w:r w:rsidRPr="00431843">
              <w:rPr>
                <w:rFonts w:ascii="Calibri" w:eastAsia="Times New Roman" w:hAnsi="Calibri" w:cs="Calibri"/>
                <w:kern w:val="0"/>
                <w:sz w:val="24"/>
                <w:szCs w:val="24"/>
                <w:lang w:eastAsia="en-GB"/>
                <w14:ligatures w14:val="none"/>
              </w:rPr>
              <w:t>Inherent costs of change of supplier.</w:t>
            </w:r>
          </w:p>
        </w:tc>
        <w:tc>
          <w:tcPr>
            <w:tcW w:w="4961" w:type="dxa"/>
            <w:hideMark/>
          </w:tcPr>
          <w:p w14:paraId="61995305" w14:textId="77777777" w:rsidR="00431843" w:rsidRPr="00431843" w:rsidRDefault="00431843" w:rsidP="00431843">
            <w:pPr>
              <w:spacing w:after="0"/>
              <w:ind w:left="0"/>
              <w:jc w:val="left"/>
              <w:rPr>
                <w:rFonts w:ascii="Times New Roman" w:eastAsia="Times New Roman" w:hAnsi="Times New Roman" w:cs="Times New Roman"/>
                <w:kern w:val="0"/>
                <w:sz w:val="20"/>
                <w:szCs w:val="20"/>
                <w:lang w:eastAsia="en-GB"/>
                <w14:ligatures w14:val="none"/>
              </w:rPr>
            </w:pPr>
          </w:p>
        </w:tc>
      </w:tr>
      <w:tr w:rsidR="00431843" w:rsidRPr="00431843" w14:paraId="13036AB8" w14:textId="77777777" w:rsidTr="00E5290B">
        <w:trPr>
          <w:trHeight w:val="319"/>
        </w:trPr>
        <w:tc>
          <w:tcPr>
            <w:tcW w:w="5240" w:type="dxa"/>
            <w:noWrap/>
            <w:hideMark/>
          </w:tcPr>
          <w:p w14:paraId="38A8CE56" w14:textId="77777777" w:rsidR="00431843" w:rsidRPr="00431843" w:rsidRDefault="00431843" w:rsidP="00431843">
            <w:pPr>
              <w:spacing w:after="0"/>
              <w:ind w:left="0"/>
              <w:jc w:val="left"/>
              <w:rPr>
                <w:rFonts w:ascii="Calibri" w:eastAsia="Times New Roman" w:hAnsi="Calibri" w:cs="Calibri"/>
                <w:kern w:val="0"/>
                <w:sz w:val="24"/>
                <w:szCs w:val="24"/>
                <w:lang w:eastAsia="en-GB"/>
                <w14:ligatures w14:val="none"/>
              </w:rPr>
            </w:pPr>
            <w:r w:rsidRPr="00431843">
              <w:rPr>
                <w:rFonts w:ascii="Calibri" w:eastAsia="Times New Roman" w:hAnsi="Calibri" w:cs="Calibri"/>
                <w:kern w:val="0"/>
                <w:sz w:val="24"/>
                <w:szCs w:val="24"/>
                <w:lang w:eastAsia="en-GB"/>
                <w14:ligatures w14:val="none"/>
              </w:rPr>
              <w:t>Quantity of suppliers that meet the requirements.</w:t>
            </w:r>
          </w:p>
        </w:tc>
        <w:tc>
          <w:tcPr>
            <w:tcW w:w="4961" w:type="dxa"/>
            <w:hideMark/>
          </w:tcPr>
          <w:p w14:paraId="3F008BE3" w14:textId="77777777" w:rsidR="00431843" w:rsidRPr="00431843" w:rsidRDefault="00431843" w:rsidP="00431843">
            <w:pPr>
              <w:spacing w:after="0"/>
              <w:ind w:left="0"/>
              <w:jc w:val="left"/>
              <w:rPr>
                <w:rFonts w:ascii="Times New Roman" w:eastAsia="Times New Roman" w:hAnsi="Times New Roman" w:cs="Times New Roman"/>
                <w:kern w:val="0"/>
                <w:sz w:val="20"/>
                <w:szCs w:val="20"/>
                <w:lang w:eastAsia="en-GB"/>
                <w14:ligatures w14:val="none"/>
              </w:rPr>
            </w:pPr>
          </w:p>
        </w:tc>
      </w:tr>
      <w:tr w:rsidR="00431843" w:rsidRPr="00431843" w14:paraId="33C9126B" w14:textId="77777777" w:rsidTr="00E5290B">
        <w:trPr>
          <w:trHeight w:val="319"/>
        </w:trPr>
        <w:tc>
          <w:tcPr>
            <w:tcW w:w="5240" w:type="dxa"/>
            <w:noWrap/>
            <w:hideMark/>
          </w:tcPr>
          <w:p w14:paraId="0521D3DD" w14:textId="77777777" w:rsidR="00431843" w:rsidRPr="00431843" w:rsidRDefault="00431843" w:rsidP="00431843">
            <w:pPr>
              <w:spacing w:after="0"/>
              <w:ind w:left="0"/>
              <w:jc w:val="left"/>
              <w:rPr>
                <w:rFonts w:ascii="Calibri" w:eastAsia="Times New Roman" w:hAnsi="Calibri" w:cs="Calibri"/>
                <w:kern w:val="0"/>
                <w:sz w:val="24"/>
                <w:szCs w:val="24"/>
                <w:lang w:eastAsia="en-GB"/>
                <w14:ligatures w14:val="none"/>
              </w:rPr>
            </w:pPr>
            <w:r w:rsidRPr="00431843">
              <w:rPr>
                <w:rFonts w:ascii="Calibri" w:eastAsia="Times New Roman" w:hAnsi="Calibri" w:cs="Calibri"/>
                <w:kern w:val="0"/>
                <w:sz w:val="24"/>
                <w:szCs w:val="24"/>
                <w:lang w:eastAsia="en-GB"/>
                <w14:ligatures w14:val="none"/>
              </w:rPr>
              <w:t>Degree of flexibility in the negotiation of payment terms.</w:t>
            </w:r>
          </w:p>
        </w:tc>
        <w:tc>
          <w:tcPr>
            <w:tcW w:w="4961" w:type="dxa"/>
            <w:hideMark/>
          </w:tcPr>
          <w:p w14:paraId="7DC96F8B" w14:textId="77777777" w:rsidR="00431843" w:rsidRPr="00431843" w:rsidRDefault="00431843" w:rsidP="00431843">
            <w:pPr>
              <w:spacing w:after="0"/>
              <w:ind w:left="0"/>
              <w:jc w:val="left"/>
              <w:rPr>
                <w:rFonts w:ascii="Times New Roman" w:eastAsia="Times New Roman" w:hAnsi="Times New Roman" w:cs="Times New Roman"/>
                <w:kern w:val="0"/>
                <w:sz w:val="20"/>
                <w:szCs w:val="20"/>
                <w:lang w:eastAsia="en-GB"/>
                <w14:ligatures w14:val="none"/>
              </w:rPr>
            </w:pPr>
          </w:p>
        </w:tc>
      </w:tr>
      <w:tr w:rsidR="00431843" w:rsidRPr="00431843" w14:paraId="62454A66" w14:textId="77777777" w:rsidTr="00E5290B">
        <w:trPr>
          <w:trHeight w:val="319"/>
        </w:trPr>
        <w:tc>
          <w:tcPr>
            <w:tcW w:w="5240" w:type="dxa"/>
            <w:noWrap/>
            <w:hideMark/>
          </w:tcPr>
          <w:p w14:paraId="43D47481" w14:textId="77777777" w:rsidR="00431843" w:rsidRPr="00431843" w:rsidRDefault="00431843" w:rsidP="00431843">
            <w:pPr>
              <w:spacing w:after="0"/>
              <w:ind w:left="0"/>
              <w:jc w:val="left"/>
              <w:rPr>
                <w:rFonts w:ascii="Calibri" w:eastAsia="Times New Roman" w:hAnsi="Calibri" w:cs="Calibri"/>
                <w:kern w:val="0"/>
                <w:sz w:val="24"/>
                <w:szCs w:val="24"/>
                <w:lang w:eastAsia="en-GB"/>
                <w14:ligatures w14:val="none"/>
              </w:rPr>
            </w:pPr>
            <w:r w:rsidRPr="00431843">
              <w:rPr>
                <w:rFonts w:ascii="Calibri" w:eastAsia="Times New Roman" w:hAnsi="Calibri" w:cs="Calibri"/>
                <w:kern w:val="0"/>
                <w:sz w:val="24"/>
                <w:szCs w:val="24"/>
                <w:lang w:eastAsia="en-GB"/>
                <w14:ligatures w14:val="none"/>
              </w:rPr>
              <w:t>Degree of vendor prioritization for order processing in case of product shortage or inventory reduction.</w:t>
            </w:r>
          </w:p>
        </w:tc>
        <w:tc>
          <w:tcPr>
            <w:tcW w:w="4961" w:type="dxa"/>
            <w:hideMark/>
          </w:tcPr>
          <w:p w14:paraId="48864657" w14:textId="77777777" w:rsidR="00431843" w:rsidRPr="00431843" w:rsidRDefault="00431843" w:rsidP="00431843">
            <w:pPr>
              <w:spacing w:after="0"/>
              <w:ind w:left="0"/>
              <w:jc w:val="left"/>
              <w:rPr>
                <w:rFonts w:ascii="Times New Roman" w:eastAsia="Times New Roman" w:hAnsi="Times New Roman" w:cs="Times New Roman"/>
                <w:kern w:val="0"/>
                <w:sz w:val="20"/>
                <w:szCs w:val="20"/>
                <w:lang w:eastAsia="en-GB"/>
                <w14:ligatures w14:val="none"/>
              </w:rPr>
            </w:pPr>
          </w:p>
        </w:tc>
      </w:tr>
      <w:tr w:rsidR="00431843" w:rsidRPr="00431843" w14:paraId="2C196FC5" w14:textId="77777777" w:rsidTr="00E5290B">
        <w:trPr>
          <w:trHeight w:val="319"/>
        </w:trPr>
        <w:tc>
          <w:tcPr>
            <w:tcW w:w="5240" w:type="dxa"/>
            <w:noWrap/>
            <w:hideMark/>
          </w:tcPr>
          <w:p w14:paraId="1744203F" w14:textId="77777777" w:rsidR="00431843" w:rsidRPr="00431843" w:rsidRDefault="00431843" w:rsidP="00431843">
            <w:pPr>
              <w:spacing w:after="0"/>
              <w:ind w:left="0"/>
              <w:jc w:val="left"/>
              <w:rPr>
                <w:rFonts w:ascii="Calibri" w:eastAsia="Times New Roman" w:hAnsi="Calibri" w:cs="Calibri"/>
                <w:kern w:val="0"/>
                <w:sz w:val="24"/>
                <w:szCs w:val="24"/>
                <w:lang w:eastAsia="en-GB"/>
                <w14:ligatures w14:val="none"/>
              </w:rPr>
            </w:pPr>
            <w:r w:rsidRPr="00431843">
              <w:rPr>
                <w:rFonts w:ascii="Calibri" w:eastAsia="Times New Roman" w:hAnsi="Calibri" w:cs="Calibri"/>
                <w:kern w:val="0"/>
                <w:sz w:val="24"/>
                <w:szCs w:val="24"/>
                <w:lang w:eastAsia="en-GB"/>
                <w14:ligatures w14:val="none"/>
              </w:rPr>
              <w:t>Regularity of delivery times.</w:t>
            </w:r>
          </w:p>
        </w:tc>
        <w:tc>
          <w:tcPr>
            <w:tcW w:w="4961" w:type="dxa"/>
            <w:hideMark/>
          </w:tcPr>
          <w:p w14:paraId="2B95C7A9" w14:textId="77777777" w:rsidR="00431843" w:rsidRPr="00431843" w:rsidRDefault="00431843" w:rsidP="00431843">
            <w:pPr>
              <w:spacing w:after="0"/>
              <w:ind w:left="0"/>
              <w:jc w:val="left"/>
              <w:rPr>
                <w:rFonts w:ascii="Times New Roman" w:eastAsia="Times New Roman" w:hAnsi="Times New Roman" w:cs="Times New Roman"/>
                <w:kern w:val="0"/>
                <w:sz w:val="20"/>
                <w:szCs w:val="20"/>
                <w:lang w:eastAsia="en-GB"/>
                <w14:ligatures w14:val="none"/>
              </w:rPr>
            </w:pPr>
          </w:p>
        </w:tc>
      </w:tr>
      <w:tr w:rsidR="00431843" w:rsidRPr="00431843" w14:paraId="0D600DDD" w14:textId="77777777" w:rsidTr="00E5290B">
        <w:trPr>
          <w:trHeight w:val="885"/>
        </w:trPr>
        <w:tc>
          <w:tcPr>
            <w:tcW w:w="5240" w:type="dxa"/>
            <w:shd w:val="clear" w:color="auto" w:fill="A5A5A5" w:themeFill="accent3"/>
            <w:noWrap/>
            <w:hideMark/>
          </w:tcPr>
          <w:p w14:paraId="56307B0F" w14:textId="77777777" w:rsidR="00431843" w:rsidRPr="00431843" w:rsidRDefault="00431843" w:rsidP="00431843">
            <w:pPr>
              <w:spacing w:after="0"/>
              <w:ind w:left="0"/>
              <w:jc w:val="center"/>
              <w:rPr>
                <w:rFonts w:ascii="Times New Roman" w:eastAsia="Times New Roman" w:hAnsi="Times New Roman" w:cs="Times New Roman"/>
                <w:kern w:val="0"/>
                <w:sz w:val="20"/>
                <w:szCs w:val="20"/>
                <w:lang w:eastAsia="en-GB"/>
                <w14:ligatures w14:val="none"/>
              </w:rPr>
            </w:pPr>
            <w:r w:rsidRPr="00431843">
              <w:rPr>
                <w:rFonts w:ascii="Calibri" w:eastAsia="Times New Roman" w:hAnsi="Calibri" w:cs="Calibri"/>
                <w:b/>
                <w:bCs/>
                <w:i/>
                <w:iCs/>
                <w:kern w:val="0"/>
                <w:sz w:val="28"/>
                <w:szCs w:val="28"/>
                <w:u w:val="single"/>
                <w:lang w:eastAsia="en-GB"/>
                <w14:ligatures w14:val="none"/>
              </w:rPr>
              <w:t>Bargaining power of buyers</w:t>
            </w:r>
          </w:p>
        </w:tc>
        <w:tc>
          <w:tcPr>
            <w:tcW w:w="4961" w:type="dxa"/>
          </w:tcPr>
          <w:p w14:paraId="77478256" w14:textId="0AD2DB37" w:rsidR="00431843" w:rsidRPr="00431843" w:rsidRDefault="00431843" w:rsidP="00431843">
            <w:pPr>
              <w:spacing w:after="0"/>
              <w:ind w:left="0"/>
              <w:jc w:val="center"/>
              <w:rPr>
                <w:rFonts w:ascii="Times New Roman" w:eastAsia="Times New Roman" w:hAnsi="Times New Roman" w:cs="Times New Roman"/>
                <w:kern w:val="0"/>
                <w:sz w:val="20"/>
                <w:szCs w:val="20"/>
                <w:lang w:eastAsia="en-GB"/>
                <w14:ligatures w14:val="none"/>
              </w:rPr>
            </w:pPr>
          </w:p>
        </w:tc>
      </w:tr>
      <w:tr w:rsidR="00431843" w:rsidRPr="00431843" w14:paraId="6A4AC237" w14:textId="77777777" w:rsidTr="00E5290B">
        <w:trPr>
          <w:trHeight w:val="381"/>
        </w:trPr>
        <w:tc>
          <w:tcPr>
            <w:tcW w:w="5240" w:type="dxa"/>
            <w:noWrap/>
            <w:hideMark/>
          </w:tcPr>
          <w:p w14:paraId="1543E5DB" w14:textId="77777777" w:rsidR="00431843" w:rsidRPr="00431843" w:rsidRDefault="00431843" w:rsidP="00431843">
            <w:pPr>
              <w:spacing w:after="0"/>
              <w:ind w:left="0"/>
              <w:jc w:val="left"/>
              <w:rPr>
                <w:rFonts w:ascii="Calibri" w:eastAsia="Times New Roman" w:hAnsi="Calibri" w:cs="Calibri"/>
                <w:b/>
                <w:bCs/>
                <w:kern w:val="0"/>
                <w:sz w:val="24"/>
                <w:szCs w:val="24"/>
                <w:lang w:eastAsia="en-GB"/>
                <w14:ligatures w14:val="none"/>
              </w:rPr>
            </w:pPr>
            <w:r w:rsidRPr="00431843">
              <w:rPr>
                <w:rFonts w:ascii="Calibri" w:eastAsia="Times New Roman" w:hAnsi="Calibri" w:cs="Calibri"/>
                <w:b/>
                <w:bCs/>
                <w:kern w:val="0"/>
                <w:sz w:val="24"/>
                <w:szCs w:val="24"/>
                <w:lang w:eastAsia="en-GB"/>
                <w14:ligatures w14:val="none"/>
              </w:rPr>
              <w:lastRenderedPageBreak/>
              <w:t>Evaluation of the influence of customers in relation to aspects:</w:t>
            </w:r>
          </w:p>
        </w:tc>
        <w:tc>
          <w:tcPr>
            <w:tcW w:w="4961" w:type="dxa"/>
            <w:hideMark/>
          </w:tcPr>
          <w:p w14:paraId="68D5B9EE" w14:textId="77777777" w:rsidR="00431843" w:rsidRPr="00431843" w:rsidRDefault="00431843" w:rsidP="00431843">
            <w:pPr>
              <w:spacing w:after="0"/>
              <w:ind w:left="0"/>
              <w:jc w:val="left"/>
              <w:rPr>
                <w:rFonts w:ascii="Times New Roman" w:eastAsia="Times New Roman" w:hAnsi="Times New Roman" w:cs="Times New Roman"/>
                <w:kern w:val="0"/>
                <w:sz w:val="20"/>
                <w:szCs w:val="20"/>
                <w:lang w:eastAsia="en-GB"/>
                <w14:ligatures w14:val="none"/>
              </w:rPr>
            </w:pPr>
          </w:p>
        </w:tc>
      </w:tr>
      <w:tr w:rsidR="00431843" w:rsidRPr="00431843" w14:paraId="29574A3C" w14:textId="77777777" w:rsidTr="00E5290B">
        <w:trPr>
          <w:trHeight w:val="319"/>
        </w:trPr>
        <w:tc>
          <w:tcPr>
            <w:tcW w:w="5240" w:type="dxa"/>
            <w:noWrap/>
            <w:hideMark/>
          </w:tcPr>
          <w:p w14:paraId="5109A141" w14:textId="25C4853C" w:rsidR="00431843" w:rsidRPr="00431843" w:rsidRDefault="00431843" w:rsidP="00431843">
            <w:pPr>
              <w:spacing w:after="0"/>
              <w:ind w:left="0"/>
              <w:jc w:val="left"/>
              <w:rPr>
                <w:rFonts w:ascii="Calibri" w:eastAsia="Times New Roman" w:hAnsi="Calibri" w:cs="Calibri"/>
                <w:kern w:val="0"/>
                <w:sz w:val="24"/>
                <w:szCs w:val="24"/>
                <w:lang w:eastAsia="en-GB"/>
                <w14:ligatures w14:val="none"/>
              </w:rPr>
            </w:pPr>
            <w:r w:rsidRPr="00431843">
              <w:rPr>
                <w:rFonts w:ascii="Calibri" w:eastAsia="Times New Roman" w:hAnsi="Calibri" w:cs="Calibri"/>
                <w:kern w:val="0"/>
                <w:sz w:val="24"/>
                <w:szCs w:val="24"/>
                <w:lang w:eastAsia="en-GB"/>
                <w14:ligatures w14:val="none"/>
              </w:rPr>
              <w:t>Perception of product quality in relation to possible substitutes or competitors.</w:t>
            </w:r>
          </w:p>
        </w:tc>
        <w:tc>
          <w:tcPr>
            <w:tcW w:w="4961" w:type="dxa"/>
            <w:hideMark/>
          </w:tcPr>
          <w:p w14:paraId="797C1C51" w14:textId="77777777" w:rsidR="00431843" w:rsidRPr="00431843" w:rsidRDefault="00431843" w:rsidP="00431843">
            <w:pPr>
              <w:spacing w:after="0"/>
              <w:ind w:left="0"/>
              <w:jc w:val="left"/>
              <w:rPr>
                <w:rFonts w:ascii="Times New Roman" w:eastAsia="Times New Roman" w:hAnsi="Times New Roman" w:cs="Times New Roman"/>
                <w:kern w:val="0"/>
                <w:sz w:val="20"/>
                <w:szCs w:val="20"/>
                <w:lang w:eastAsia="en-GB"/>
                <w14:ligatures w14:val="none"/>
              </w:rPr>
            </w:pPr>
          </w:p>
        </w:tc>
      </w:tr>
      <w:tr w:rsidR="00431843" w:rsidRPr="00431843" w14:paraId="099A6D0A" w14:textId="77777777" w:rsidTr="00E5290B">
        <w:trPr>
          <w:trHeight w:val="319"/>
        </w:trPr>
        <w:tc>
          <w:tcPr>
            <w:tcW w:w="5240" w:type="dxa"/>
            <w:noWrap/>
            <w:hideMark/>
          </w:tcPr>
          <w:p w14:paraId="14C7AE8D" w14:textId="2414F996" w:rsidR="00431843" w:rsidRPr="00431843" w:rsidRDefault="00431843" w:rsidP="00431843">
            <w:pPr>
              <w:spacing w:after="0"/>
              <w:ind w:left="0"/>
              <w:jc w:val="left"/>
              <w:rPr>
                <w:rFonts w:ascii="Calibri" w:eastAsia="Times New Roman" w:hAnsi="Calibri" w:cs="Calibri"/>
                <w:kern w:val="0"/>
                <w:sz w:val="24"/>
                <w:szCs w:val="24"/>
                <w:lang w:eastAsia="en-GB"/>
                <w14:ligatures w14:val="none"/>
              </w:rPr>
            </w:pPr>
            <w:r w:rsidRPr="00431843">
              <w:rPr>
                <w:rFonts w:ascii="Calibri" w:eastAsia="Times New Roman" w:hAnsi="Calibri" w:cs="Calibri"/>
                <w:kern w:val="0"/>
                <w:sz w:val="24"/>
                <w:szCs w:val="24"/>
                <w:lang w:eastAsia="en-GB"/>
                <w14:ligatures w14:val="none"/>
              </w:rPr>
              <w:t>Price strategy in comparison to other alternatives offered by the market.</w:t>
            </w:r>
          </w:p>
        </w:tc>
        <w:tc>
          <w:tcPr>
            <w:tcW w:w="4961" w:type="dxa"/>
            <w:hideMark/>
          </w:tcPr>
          <w:p w14:paraId="4B800707" w14:textId="77777777" w:rsidR="00431843" w:rsidRPr="00431843" w:rsidRDefault="00431843" w:rsidP="00431843">
            <w:pPr>
              <w:spacing w:after="0"/>
              <w:ind w:left="0"/>
              <w:jc w:val="left"/>
              <w:rPr>
                <w:rFonts w:ascii="Times New Roman" w:eastAsia="Times New Roman" w:hAnsi="Times New Roman" w:cs="Times New Roman"/>
                <w:kern w:val="0"/>
                <w:sz w:val="20"/>
                <w:szCs w:val="20"/>
                <w:lang w:eastAsia="en-GB"/>
                <w14:ligatures w14:val="none"/>
              </w:rPr>
            </w:pPr>
          </w:p>
        </w:tc>
      </w:tr>
      <w:tr w:rsidR="00431843" w:rsidRPr="00431843" w14:paraId="7B41D6C0" w14:textId="77777777" w:rsidTr="00E5290B">
        <w:trPr>
          <w:trHeight w:val="319"/>
        </w:trPr>
        <w:tc>
          <w:tcPr>
            <w:tcW w:w="5240" w:type="dxa"/>
            <w:noWrap/>
            <w:hideMark/>
          </w:tcPr>
          <w:p w14:paraId="0455D5C7" w14:textId="47894F0A" w:rsidR="00431843" w:rsidRPr="00431843" w:rsidRDefault="00431843" w:rsidP="00431843">
            <w:pPr>
              <w:spacing w:after="0"/>
              <w:ind w:left="0"/>
              <w:jc w:val="left"/>
              <w:rPr>
                <w:rFonts w:ascii="Calibri" w:eastAsia="Times New Roman" w:hAnsi="Calibri" w:cs="Calibri"/>
                <w:kern w:val="0"/>
                <w:sz w:val="24"/>
                <w:szCs w:val="24"/>
                <w:lang w:eastAsia="en-GB"/>
                <w14:ligatures w14:val="none"/>
              </w:rPr>
            </w:pPr>
            <w:r w:rsidRPr="00431843">
              <w:rPr>
                <w:rFonts w:ascii="Calibri" w:eastAsia="Times New Roman" w:hAnsi="Calibri" w:cs="Calibri"/>
                <w:kern w:val="0"/>
                <w:sz w:val="24"/>
                <w:szCs w:val="24"/>
                <w:lang w:eastAsia="en-GB"/>
                <w14:ligatures w14:val="none"/>
              </w:rPr>
              <w:t>Requirements regarding flexibility of payment and delivery deadlines.</w:t>
            </w:r>
          </w:p>
        </w:tc>
        <w:tc>
          <w:tcPr>
            <w:tcW w:w="4961" w:type="dxa"/>
            <w:hideMark/>
          </w:tcPr>
          <w:p w14:paraId="6BF6EF29" w14:textId="77777777" w:rsidR="00431843" w:rsidRPr="00431843" w:rsidRDefault="00431843" w:rsidP="00431843">
            <w:pPr>
              <w:spacing w:after="0"/>
              <w:ind w:left="0"/>
              <w:jc w:val="left"/>
              <w:rPr>
                <w:rFonts w:ascii="Times New Roman" w:eastAsia="Times New Roman" w:hAnsi="Times New Roman" w:cs="Times New Roman"/>
                <w:kern w:val="0"/>
                <w:sz w:val="20"/>
                <w:szCs w:val="20"/>
                <w:lang w:eastAsia="en-GB"/>
                <w14:ligatures w14:val="none"/>
              </w:rPr>
            </w:pPr>
          </w:p>
        </w:tc>
      </w:tr>
      <w:tr w:rsidR="00431843" w:rsidRPr="00431843" w14:paraId="11CDE583" w14:textId="77777777" w:rsidTr="00E5290B">
        <w:trPr>
          <w:trHeight w:val="319"/>
        </w:trPr>
        <w:tc>
          <w:tcPr>
            <w:tcW w:w="5240" w:type="dxa"/>
            <w:noWrap/>
            <w:hideMark/>
          </w:tcPr>
          <w:p w14:paraId="27D88275" w14:textId="2B618BBC" w:rsidR="00431843" w:rsidRPr="00431843" w:rsidRDefault="00431843" w:rsidP="00431843">
            <w:pPr>
              <w:spacing w:after="0"/>
              <w:ind w:left="0"/>
              <w:jc w:val="left"/>
              <w:rPr>
                <w:rFonts w:ascii="Calibri" w:eastAsia="Times New Roman" w:hAnsi="Calibri" w:cs="Calibri"/>
                <w:kern w:val="0"/>
                <w:sz w:val="24"/>
                <w:szCs w:val="24"/>
                <w:lang w:eastAsia="en-GB"/>
                <w14:ligatures w14:val="none"/>
              </w:rPr>
            </w:pPr>
            <w:r w:rsidRPr="00431843">
              <w:rPr>
                <w:rFonts w:ascii="Calibri" w:eastAsia="Times New Roman" w:hAnsi="Calibri" w:cs="Calibri"/>
                <w:kern w:val="0"/>
                <w:sz w:val="24"/>
                <w:szCs w:val="24"/>
                <w:lang w:eastAsia="en-GB"/>
                <w14:ligatures w14:val="none"/>
              </w:rPr>
              <w:t>Relative costs for companies to change customers VS costs for customers to switch products.</w:t>
            </w:r>
          </w:p>
        </w:tc>
        <w:tc>
          <w:tcPr>
            <w:tcW w:w="4961" w:type="dxa"/>
            <w:hideMark/>
          </w:tcPr>
          <w:p w14:paraId="38117BFA" w14:textId="77777777" w:rsidR="00431843" w:rsidRPr="00431843" w:rsidRDefault="00431843" w:rsidP="00431843">
            <w:pPr>
              <w:spacing w:after="0"/>
              <w:ind w:left="0"/>
              <w:jc w:val="left"/>
              <w:rPr>
                <w:rFonts w:ascii="Times New Roman" w:eastAsia="Times New Roman" w:hAnsi="Times New Roman" w:cs="Times New Roman"/>
                <w:kern w:val="0"/>
                <w:sz w:val="20"/>
                <w:szCs w:val="20"/>
                <w:lang w:eastAsia="en-GB"/>
                <w14:ligatures w14:val="none"/>
              </w:rPr>
            </w:pPr>
          </w:p>
        </w:tc>
      </w:tr>
      <w:tr w:rsidR="00431843" w:rsidRPr="00431843" w14:paraId="4430EB23" w14:textId="77777777" w:rsidTr="00E5290B">
        <w:trPr>
          <w:trHeight w:val="319"/>
        </w:trPr>
        <w:tc>
          <w:tcPr>
            <w:tcW w:w="5240" w:type="dxa"/>
            <w:noWrap/>
            <w:hideMark/>
          </w:tcPr>
          <w:p w14:paraId="22EA9534" w14:textId="0DFD74FE" w:rsidR="00431843" w:rsidRPr="00431843" w:rsidRDefault="00431843" w:rsidP="00431843">
            <w:pPr>
              <w:spacing w:after="0"/>
              <w:ind w:left="0"/>
              <w:jc w:val="left"/>
              <w:rPr>
                <w:rFonts w:ascii="Calibri" w:eastAsia="Times New Roman" w:hAnsi="Calibri" w:cs="Calibri"/>
                <w:kern w:val="0"/>
                <w:sz w:val="24"/>
                <w:szCs w:val="24"/>
                <w:lang w:eastAsia="en-GB"/>
                <w14:ligatures w14:val="none"/>
              </w:rPr>
            </w:pPr>
            <w:r w:rsidRPr="00431843">
              <w:rPr>
                <w:rFonts w:ascii="Calibri" w:eastAsia="Times New Roman" w:hAnsi="Calibri" w:cs="Calibri"/>
                <w:kern w:val="0"/>
                <w:sz w:val="24"/>
                <w:szCs w:val="24"/>
                <w:lang w:eastAsia="en-GB"/>
                <w14:ligatures w14:val="none"/>
              </w:rPr>
              <w:t>Degree of differentiation and brand of the product perceived by the client in relation to the competitors.</w:t>
            </w:r>
          </w:p>
        </w:tc>
        <w:tc>
          <w:tcPr>
            <w:tcW w:w="4961" w:type="dxa"/>
            <w:hideMark/>
          </w:tcPr>
          <w:p w14:paraId="1C6AB1BA" w14:textId="77777777" w:rsidR="00431843" w:rsidRPr="00431843" w:rsidRDefault="00431843" w:rsidP="00431843">
            <w:pPr>
              <w:spacing w:after="0"/>
              <w:ind w:left="0"/>
              <w:jc w:val="left"/>
              <w:rPr>
                <w:rFonts w:ascii="Times New Roman" w:eastAsia="Times New Roman" w:hAnsi="Times New Roman" w:cs="Times New Roman"/>
                <w:kern w:val="0"/>
                <w:sz w:val="20"/>
                <w:szCs w:val="20"/>
                <w:lang w:eastAsia="en-GB"/>
                <w14:ligatures w14:val="none"/>
              </w:rPr>
            </w:pPr>
          </w:p>
        </w:tc>
      </w:tr>
      <w:tr w:rsidR="00431843" w:rsidRPr="00431843" w14:paraId="7C2D59D7" w14:textId="77777777" w:rsidTr="00E5290B">
        <w:trPr>
          <w:trHeight w:val="885"/>
        </w:trPr>
        <w:tc>
          <w:tcPr>
            <w:tcW w:w="5240" w:type="dxa"/>
            <w:shd w:val="clear" w:color="auto" w:fill="FFC000"/>
            <w:noWrap/>
            <w:hideMark/>
          </w:tcPr>
          <w:p w14:paraId="59E1988D" w14:textId="77777777" w:rsidR="00431843" w:rsidRPr="00431843" w:rsidRDefault="00431843" w:rsidP="00431843">
            <w:pPr>
              <w:spacing w:after="0"/>
              <w:ind w:left="0"/>
              <w:jc w:val="center"/>
              <w:rPr>
                <w:rFonts w:ascii="Times New Roman" w:eastAsia="Times New Roman" w:hAnsi="Times New Roman" w:cs="Times New Roman"/>
                <w:kern w:val="0"/>
                <w:sz w:val="20"/>
                <w:szCs w:val="20"/>
                <w:lang w:eastAsia="en-GB"/>
                <w14:ligatures w14:val="none"/>
              </w:rPr>
            </w:pPr>
            <w:r w:rsidRPr="00431843">
              <w:rPr>
                <w:rFonts w:ascii="Calibri" w:eastAsia="Times New Roman" w:hAnsi="Calibri" w:cs="Calibri"/>
                <w:b/>
                <w:bCs/>
                <w:i/>
                <w:iCs/>
                <w:kern w:val="0"/>
                <w:sz w:val="28"/>
                <w:szCs w:val="28"/>
                <w:u w:val="single"/>
                <w:lang w:eastAsia="en-GB"/>
                <w14:ligatures w14:val="none"/>
              </w:rPr>
              <w:t>Threats of substitutes</w:t>
            </w:r>
          </w:p>
        </w:tc>
        <w:tc>
          <w:tcPr>
            <w:tcW w:w="4961" w:type="dxa"/>
          </w:tcPr>
          <w:p w14:paraId="1B468A1E" w14:textId="6E5BFC0E" w:rsidR="00431843" w:rsidRPr="00431843" w:rsidRDefault="00431843" w:rsidP="00431843">
            <w:pPr>
              <w:spacing w:after="0"/>
              <w:ind w:left="0"/>
              <w:jc w:val="center"/>
              <w:rPr>
                <w:rFonts w:ascii="Times New Roman" w:eastAsia="Times New Roman" w:hAnsi="Times New Roman" w:cs="Times New Roman"/>
                <w:kern w:val="0"/>
                <w:sz w:val="20"/>
                <w:szCs w:val="20"/>
                <w:lang w:eastAsia="en-GB"/>
                <w14:ligatures w14:val="none"/>
              </w:rPr>
            </w:pPr>
          </w:p>
        </w:tc>
      </w:tr>
      <w:tr w:rsidR="00431843" w:rsidRPr="00431843" w14:paraId="024B4356" w14:textId="77777777" w:rsidTr="00E5290B">
        <w:trPr>
          <w:trHeight w:val="319"/>
        </w:trPr>
        <w:tc>
          <w:tcPr>
            <w:tcW w:w="5240" w:type="dxa"/>
            <w:noWrap/>
            <w:hideMark/>
          </w:tcPr>
          <w:p w14:paraId="4D3122F1" w14:textId="77777777" w:rsidR="00431843" w:rsidRPr="00431843" w:rsidRDefault="00431843" w:rsidP="00431843">
            <w:pPr>
              <w:spacing w:after="0"/>
              <w:ind w:left="0"/>
              <w:jc w:val="left"/>
              <w:rPr>
                <w:rFonts w:ascii="Calibri" w:eastAsia="Times New Roman" w:hAnsi="Calibri" w:cs="Calibri"/>
                <w:b/>
                <w:bCs/>
                <w:kern w:val="0"/>
                <w:sz w:val="24"/>
                <w:szCs w:val="24"/>
                <w:lang w:eastAsia="en-GB"/>
                <w14:ligatures w14:val="none"/>
              </w:rPr>
            </w:pPr>
            <w:r w:rsidRPr="00431843">
              <w:rPr>
                <w:rFonts w:ascii="Calibri" w:eastAsia="Times New Roman" w:hAnsi="Calibri" w:cs="Calibri"/>
                <w:b/>
                <w:bCs/>
                <w:kern w:val="0"/>
                <w:sz w:val="24"/>
                <w:szCs w:val="24"/>
                <w:lang w:eastAsia="en-GB"/>
                <w14:ligatures w14:val="none"/>
              </w:rPr>
              <w:t>Evaluation of the possibilities and trends of substitution of the product or service:</w:t>
            </w:r>
          </w:p>
        </w:tc>
        <w:tc>
          <w:tcPr>
            <w:tcW w:w="4961" w:type="dxa"/>
            <w:hideMark/>
          </w:tcPr>
          <w:p w14:paraId="71165F19" w14:textId="77777777" w:rsidR="00431843" w:rsidRPr="00431843" w:rsidRDefault="00431843" w:rsidP="00431843">
            <w:pPr>
              <w:spacing w:after="0"/>
              <w:ind w:left="0"/>
              <w:jc w:val="left"/>
              <w:rPr>
                <w:rFonts w:ascii="Times New Roman" w:eastAsia="Times New Roman" w:hAnsi="Times New Roman" w:cs="Times New Roman"/>
                <w:kern w:val="0"/>
                <w:sz w:val="20"/>
                <w:szCs w:val="20"/>
                <w:lang w:eastAsia="en-GB"/>
                <w14:ligatures w14:val="none"/>
              </w:rPr>
            </w:pPr>
          </w:p>
        </w:tc>
      </w:tr>
      <w:tr w:rsidR="00431843" w:rsidRPr="00431843" w14:paraId="580C72C2" w14:textId="77777777" w:rsidTr="00E5290B">
        <w:trPr>
          <w:trHeight w:val="319"/>
        </w:trPr>
        <w:tc>
          <w:tcPr>
            <w:tcW w:w="5240" w:type="dxa"/>
            <w:noWrap/>
            <w:hideMark/>
          </w:tcPr>
          <w:p w14:paraId="1C62FA75" w14:textId="567A33C0" w:rsidR="00431843" w:rsidRPr="00431843" w:rsidRDefault="00431843" w:rsidP="00431843">
            <w:pPr>
              <w:spacing w:after="0"/>
              <w:ind w:left="0"/>
              <w:jc w:val="left"/>
              <w:rPr>
                <w:rFonts w:ascii="Calibri" w:eastAsia="Times New Roman" w:hAnsi="Calibri" w:cs="Calibri"/>
                <w:kern w:val="0"/>
                <w:sz w:val="24"/>
                <w:szCs w:val="24"/>
                <w:lang w:eastAsia="en-GB"/>
                <w14:ligatures w14:val="none"/>
              </w:rPr>
            </w:pPr>
            <w:r w:rsidRPr="00431843">
              <w:rPr>
                <w:rFonts w:ascii="Calibri" w:eastAsia="Times New Roman" w:hAnsi="Calibri" w:cs="Calibri"/>
                <w:kern w:val="0"/>
                <w:sz w:val="24"/>
                <w:szCs w:val="24"/>
                <w:lang w:eastAsia="en-GB"/>
                <w14:ligatures w14:val="none"/>
              </w:rPr>
              <w:t>Assess the risk of substitution of the product or service and estimated time frame for this.</w:t>
            </w:r>
          </w:p>
        </w:tc>
        <w:tc>
          <w:tcPr>
            <w:tcW w:w="4961" w:type="dxa"/>
            <w:hideMark/>
          </w:tcPr>
          <w:p w14:paraId="1C2F2789" w14:textId="77777777" w:rsidR="00431843" w:rsidRPr="00431843" w:rsidRDefault="00431843" w:rsidP="00431843">
            <w:pPr>
              <w:spacing w:after="0"/>
              <w:ind w:left="0"/>
              <w:jc w:val="left"/>
              <w:rPr>
                <w:rFonts w:ascii="Times New Roman" w:eastAsia="Times New Roman" w:hAnsi="Times New Roman" w:cs="Times New Roman"/>
                <w:kern w:val="0"/>
                <w:sz w:val="20"/>
                <w:szCs w:val="20"/>
                <w:lang w:eastAsia="en-GB"/>
                <w14:ligatures w14:val="none"/>
              </w:rPr>
            </w:pPr>
          </w:p>
        </w:tc>
      </w:tr>
      <w:tr w:rsidR="00431843" w:rsidRPr="00431843" w14:paraId="1F01C4B2" w14:textId="77777777" w:rsidTr="00E5290B">
        <w:trPr>
          <w:trHeight w:val="319"/>
        </w:trPr>
        <w:tc>
          <w:tcPr>
            <w:tcW w:w="5240" w:type="dxa"/>
            <w:noWrap/>
            <w:hideMark/>
          </w:tcPr>
          <w:p w14:paraId="709B5AF5" w14:textId="52D9B07D" w:rsidR="00431843" w:rsidRPr="00431843" w:rsidRDefault="00431843" w:rsidP="00431843">
            <w:pPr>
              <w:spacing w:after="0"/>
              <w:ind w:left="0"/>
              <w:jc w:val="left"/>
              <w:rPr>
                <w:rFonts w:ascii="Calibri" w:eastAsia="Times New Roman" w:hAnsi="Calibri" w:cs="Calibri"/>
                <w:kern w:val="0"/>
                <w:sz w:val="24"/>
                <w:szCs w:val="24"/>
                <w:lang w:eastAsia="en-GB"/>
                <w14:ligatures w14:val="none"/>
              </w:rPr>
            </w:pPr>
            <w:r w:rsidRPr="00431843">
              <w:rPr>
                <w:rFonts w:ascii="Calibri" w:eastAsia="Times New Roman" w:hAnsi="Calibri" w:cs="Calibri"/>
                <w:kern w:val="0"/>
                <w:sz w:val="24"/>
                <w:szCs w:val="24"/>
                <w:lang w:eastAsia="en-GB"/>
                <w14:ligatures w14:val="none"/>
              </w:rPr>
              <w:t xml:space="preserve">Measure the costs of changing factors of production, </w:t>
            </w:r>
            <w:proofErr w:type="gramStart"/>
            <w:r w:rsidRPr="00431843">
              <w:rPr>
                <w:rFonts w:ascii="Calibri" w:eastAsia="Times New Roman" w:hAnsi="Calibri" w:cs="Calibri"/>
                <w:kern w:val="0"/>
                <w:sz w:val="24"/>
                <w:szCs w:val="24"/>
                <w:lang w:eastAsia="en-GB"/>
                <w14:ligatures w14:val="none"/>
              </w:rPr>
              <w:t>development</w:t>
            </w:r>
            <w:proofErr w:type="gramEnd"/>
            <w:r w:rsidRPr="00431843">
              <w:rPr>
                <w:rFonts w:ascii="Calibri" w:eastAsia="Times New Roman" w:hAnsi="Calibri" w:cs="Calibri"/>
                <w:kern w:val="0"/>
                <w:sz w:val="24"/>
                <w:szCs w:val="24"/>
                <w:lang w:eastAsia="en-GB"/>
                <w14:ligatures w14:val="none"/>
              </w:rPr>
              <w:t xml:space="preserve"> and technologies to carry out the substitution.</w:t>
            </w:r>
          </w:p>
        </w:tc>
        <w:tc>
          <w:tcPr>
            <w:tcW w:w="4961" w:type="dxa"/>
            <w:hideMark/>
          </w:tcPr>
          <w:p w14:paraId="12FD6B15" w14:textId="77777777" w:rsidR="00431843" w:rsidRPr="00431843" w:rsidRDefault="00431843" w:rsidP="00431843">
            <w:pPr>
              <w:spacing w:after="0"/>
              <w:ind w:left="0"/>
              <w:jc w:val="left"/>
              <w:rPr>
                <w:rFonts w:ascii="Times New Roman" w:eastAsia="Times New Roman" w:hAnsi="Times New Roman" w:cs="Times New Roman"/>
                <w:kern w:val="0"/>
                <w:sz w:val="20"/>
                <w:szCs w:val="20"/>
                <w:lang w:eastAsia="en-GB"/>
                <w14:ligatures w14:val="none"/>
              </w:rPr>
            </w:pPr>
          </w:p>
        </w:tc>
      </w:tr>
      <w:tr w:rsidR="00431843" w:rsidRPr="00431843" w14:paraId="75608E30" w14:textId="77777777" w:rsidTr="00E5290B">
        <w:trPr>
          <w:trHeight w:val="319"/>
        </w:trPr>
        <w:tc>
          <w:tcPr>
            <w:tcW w:w="5240" w:type="dxa"/>
            <w:noWrap/>
            <w:hideMark/>
          </w:tcPr>
          <w:p w14:paraId="21E39FC1" w14:textId="4DD19025" w:rsidR="00431843" w:rsidRPr="00431843" w:rsidRDefault="00431843" w:rsidP="00431843">
            <w:pPr>
              <w:spacing w:after="0"/>
              <w:ind w:left="0"/>
              <w:jc w:val="left"/>
              <w:rPr>
                <w:rFonts w:ascii="Calibri" w:eastAsia="Times New Roman" w:hAnsi="Calibri" w:cs="Calibri"/>
                <w:kern w:val="0"/>
                <w:sz w:val="24"/>
                <w:szCs w:val="24"/>
                <w:lang w:eastAsia="en-GB"/>
                <w14:ligatures w14:val="none"/>
              </w:rPr>
            </w:pPr>
            <w:r w:rsidRPr="00431843">
              <w:rPr>
                <w:rFonts w:ascii="Calibri" w:eastAsia="Times New Roman" w:hAnsi="Calibri" w:cs="Calibri"/>
                <w:kern w:val="0"/>
                <w:sz w:val="24"/>
                <w:szCs w:val="24"/>
                <w:lang w:eastAsia="en-GB"/>
                <w14:ligatures w14:val="none"/>
              </w:rPr>
              <w:t>Perception of customers' willingness to research, evaluate and purchase substitute products.</w:t>
            </w:r>
          </w:p>
        </w:tc>
        <w:tc>
          <w:tcPr>
            <w:tcW w:w="4961" w:type="dxa"/>
            <w:hideMark/>
          </w:tcPr>
          <w:p w14:paraId="347486B5" w14:textId="77777777" w:rsidR="00431843" w:rsidRPr="00431843" w:rsidRDefault="00431843" w:rsidP="00431843">
            <w:pPr>
              <w:spacing w:after="0"/>
              <w:ind w:left="0"/>
              <w:jc w:val="left"/>
              <w:rPr>
                <w:rFonts w:ascii="Times New Roman" w:eastAsia="Times New Roman" w:hAnsi="Times New Roman" w:cs="Times New Roman"/>
                <w:kern w:val="0"/>
                <w:sz w:val="20"/>
                <w:szCs w:val="20"/>
                <w:lang w:eastAsia="en-GB"/>
                <w14:ligatures w14:val="none"/>
              </w:rPr>
            </w:pPr>
          </w:p>
        </w:tc>
      </w:tr>
      <w:tr w:rsidR="00431843" w:rsidRPr="00431843" w14:paraId="083BECB5" w14:textId="77777777" w:rsidTr="00E5290B">
        <w:trPr>
          <w:trHeight w:val="319"/>
        </w:trPr>
        <w:tc>
          <w:tcPr>
            <w:tcW w:w="5240" w:type="dxa"/>
            <w:noWrap/>
            <w:hideMark/>
          </w:tcPr>
          <w:p w14:paraId="143BCFBC" w14:textId="6C50C051" w:rsidR="00431843" w:rsidRPr="00431843" w:rsidRDefault="00431843" w:rsidP="00431843">
            <w:pPr>
              <w:spacing w:after="0"/>
              <w:ind w:left="0"/>
              <w:jc w:val="left"/>
              <w:rPr>
                <w:rFonts w:ascii="Calibri" w:eastAsia="Times New Roman" w:hAnsi="Calibri" w:cs="Calibri"/>
                <w:kern w:val="0"/>
                <w:sz w:val="24"/>
                <w:szCs w:val="24"/>
                <w:lang w:eastAsia="en-GB"/>
                <w14:ligatures w14:val="none"/>
              </w:rPr>
            </w:pPr>
            <w:r w:rsidRPr="00431843">
              <w:rPr>
                <w:rFonts w:ascii="Calibri" w:eastAsia="Times New Roman" w:hAnsi="Calibri" w:cs="Calibri"/>
                <w:kern w:val="0"/>
                <w:sz w:val="24"/>
                <w:szCs w:val="24"/>
                <w:lang w:eastAsia="en-GB"/>
                <w14:ligatures w14:val="none"/>
              </w:rPr>
              <w:t>Projection of the product or service life cycle and adaptations according to the real demand and market dynamics.</w:t>
            </w:r>
          </w:p>
        </w:tc>
        <w:tc>
          <w:tcPr>
            <w:tcW w:w="4961" w:type="dxa"/>
            <w:hideMark/>
          </w:tcPr>
          <w:p w14:paraId="559D225B" w14:textId="77777777" w:rsidR="00431843" w:rsidRPr="00431843" w:rsidRDefault="00431843" w:rsidP="00431843">
            <w:pPr>
              <w:spacing w:after="0"/>
              <w:ind w:left="0"/>
              <w:jc w:val="left"/>
              <w:rPr>
                <w:rFonts w:ascii="Times New Roman" w:eastAsia="Times New Roman" w:hAnsi="Times New Roman" w:cs="Times New Roman"/>
                <w:kern w:val="0"/>
                <w:sz w:val="20"/>
                <w:szCs w:val="20"/>
                <w:lang w:eastAsia="en-GB"/>
                <w14:ligatures w14:val="none"/>
              </w:rPr>
            </w:pPr>
          </w:p>
        </w:tc>
      </w:tr>
      <w:tr w:rsidR="00431843" w:rsidRPr="00431843" w14:paraId="668D4918" w14:textId="77777777" w:rsidTr="00E5290B">
        <w:trPr>
          <w:trHeight w:val="885"/>
        </w:trPr>
        <w:tc>
          <w:tcPr>
            <w:tcW w:w="5240" w:type="dxa"/>
            <w:shd w:val="clear" w:color="auto" w:fill="00B0F0"/>
            <w:noWrap/>
            <w:hideMark/>
          </w:tcPr>
          <w:p w14:paraId="2D38F51F" w14:textId="77777777" w:rsidR="00431843" w:rsidRPr="00431843" w:rsidRDefault="00431843" w:rsidP="00431843">
            <w:pPr>
              <w:spacing w:after="0"/>
              <w:ind w:left="0"/>
              <w:jc w:val="center"/>
              <w:rPr>
                <w:rFonts w:ascii="Times New Roman" w:eastAsia="Times New Roman" w:hAnsi="Times New Roman" w:cs="Times New Roman"/>
                <w:kern w:val="0"/>
                <w:sz w:val="20"/>
                <w:szCs w:val="20"/>
                <w:lang w:eastAsia="en-GB"/>
                <w14:ligatures w14:val="none"/>
              </w:rPr>
            </w:pPr>
            <w:r w:rsidRPr="00431843">
              <w:rPr>
                <w:rFonts w:ascii="Calibri" w:eastAsia="Times New Roman" w:hAnsi="Calibri" w:cs="Calibri"/>
                <w:b/>
                <w:bCs/>
                <w:i/>
                <w:iCs/>
                <w:kern w:val="0"/>
                <w:sz w:val="28"/>
                <w:szCs w:val="28"/>
                <w:u w:val="single"/>
                <w:lang w:eastAsia="en-GB"/>
                <w14:ligatures w14:val="none"/>
              </w:rPr>
              <w:t>Industry rivalry</w:t>
            </w:r>
          </w:p>
        </w:tc>
        <w:tc>
          <w:tcPr>
            <w:tcW w:w="4961" w:type="dxa"/>
          </w:tcPr>
          <w:p w14:paraId="281C73A5" w14:textId="5DA8BBC9" w:rsidR="00431843" w:rsidRPr="00431843" w:rsidRDefault="00431843" w:rsidP="00431843">
            <w:pPr>
              <w:spacing w:after="0"/>
              <w:ind w:left="0"/>
              <w:jc w:val="center"/>
              <w:rPr>
                <w:rFonts w:ascii="Times New Roman" w:eastAsia="Times New Roman" w:hAnsi="Times New Roman" w:cs="Times New Roman"/>
                <w:kern w:val="0"/>
                <w:sz w:val="20"/>
                <w:szCs w:val="20"/>
                <w:lang w:eastAsia="en-GB"/>
                <w14:ligatures w14:val="none"/>
              </w:rPr>
            </w:pPr>
          </w:p>
        </w:tc>
      </w:tr>
      <w:tr w:rsidR="00431843" w:rsidRPr="00431843" w14:paraId="2BA2BF81" w14:textId="77777777" w:rsidTr="00E5290B">
        <w:trPr>
          <w:trHeight w:val="319"/>
        </w:trPr>
        <w:tc>
          <w:tcPr>
            <w:tcW w:w="5240" w:type="dxa"/>
            <w:noWrap/>
            <w:hideMark/>
          </w:tcPr>
          <w:p w14:paraId="0A5F57DB" w14:textId="77777777" w:rsidR="00431843" w:rsidRPr="00431843" w:rsidRDefault="00431843" w:rsidP="00431843">
            <w:pPr>
              <w:spacing w:after="0"/>
              <w:ind w:left="0"/>
              <w:jc w:val="left"/>
              <w:rPr>
                <w:rFonts w:ascii="Calibri" w:eastAsia="Times New Roman" w:hAnsi="Calibri" w:cs="Calibri"/>
                <w:b/>
                <w:bCs/>
                <w:kern w:val="0"/>
                <w:sz w:val="24"/>
                <w:szCs w:val="24"/>
                <w:lang w:eastAsia="en-GB"/>
                <w14:ligatures w14:val="none"/>
              </w:rPr>
            </w:pPr>
            <w:r w:rsidRPr="00431843">
              <w:rPr>
                <w:rFonts w:ascii="Calibri" w:eastAsia="Times New Roman" w:hAnsi="Calibri" w:cs="Calibri"/>
                <w:b/>
                <w:bCs/>
                <w:kern w:val="0"/>
                <w:sz w:val="24"/>
                <w:szCs w:val="24"/>
                <w:lang w:eastAsia="en-GB"/>
                <w14:ligatures w14:val="none"/>
              </w:rPr>
              <w:t>Direct evaluation of influence among competitors:</w:t>
            </w:r>
          </w:p>
        </w:tc>
        <w:tc>
          <w:tcPr>
            <w:tcW w:w="4961" w:type="dxa"/>
            <w:hideMark/>
          </w:tcPr>
          <w:p w14:paraId="06BA1420" w14:textId="77777777" w:rsidR="00431843" w:rsidRPr="00431843" w:rsidRDefault="00431843" w:rsidP="00431843">
            <w:pPr>
              <w:spacing w:after="0"/>
              <w:ind w:left="0"/>
              <w:jc w:val="left"/>
              <w:rPr>
                <w:rFonts w:ascii="Times New Roman" w:eastAsia="Times New Roman" w:hAnsi="Times New Roman" w:cs="Times New Roman"/>
                <w:kern w:val="0"/>
                <w:sz w:val="20"/>
                <w:szCs w:val="20"/>
                <w:lang w:eastAsia="en-GB"/>
                <w14:ligatures w14:val="none"/>
              </w:rPr>
            </w:pPr>
          </w:p>
        </w:tc>
      </w:tr>
      <w:tr w:rsidR="00431843" w:rsidRPr="00431843" w14:paraId="40E65160" w14:textId="77777777" w:rsidTr="00E5290B">
        <w:trPr>
          <w:trHeight w:val="319"/>
        </w:trPr>
        <w:tc>
          <w:tcPr>
            <w:tcW w:w="5240" w:type="dxa"/>
            <w:noWrap/>
            <w:hideMark/>
          </w:tcPr>
          <w:p w14:paraId="1D999454" w14:textId="16FE707B" w:rsidR="00431843" w:rsidRPr="00431843" w:rsidRDefault="00431843" w:rsidP="00431843">
            <w:pPr>
              <w:spacing w:after="0"/>
              <w:ind w:left="0"/>
              <w:jc w:val="left"/>
              <w:rPr>
                <w:rFonts w:ascii="Calibri" w:eastAsia="Times New Roman" w:hAnsi="Calibri" w:cs="Calibri"/>
                <w:kern w:val="0"/>
                <w:sz w:val="24"/>
                <w:szCs w:val="24"/>
                <w:lang w:eastAsia="en-GB"/>
                <w14:ligatures w14:val="none"/>
              </w:rPr>
            </w:pPr>
            <w:r w:rsidRPr="00431843">
              <w:rPr>
                <w:rFonts w:ascii="Calibri" w:eastAsia="Times New Roman" w:hAnsi="Calibri" w:cs="Calibri"/>
                <w:kern w:val="0"/>
                <w:sz w:val="24"/>
                <w:szCs w:val="24"/>
                <w:lang w:eastAsia="en-GB"/>
                <w14:ligatures w14:val="none"/>
              </w:rPr>
              <w:t>Evaluate market share VS annual growth rates VS industry growth.</w:t>
            </w:r>
          </w:p>
        </w:tc>
        <w:tc>
          <w:tcPr>
            <w:tcW w:w="4961" w:type="dxa"/>
            <w:hideMark/>
          </w:tcPr>
          <w:p w14:paraId="27DC138A" w14:textId="77777777" w:rsidR="00431843" w:rsidRPr="00431843" w:rsidRDefault="00431843" w:rsidP="00431843">
            <w:pPr>
              <w:spacing w:after="0"/>
              <w:ind w:left="0"/>
              <w:jc w:val="left"/>
              <w:rPr>
                <w:rFonts w:ascii="Times New Roman" w:eastAsia="Times New Roman" w:hAnsi="Times New Roman" w:cs="Times New Roman"/>
                <w:kern w:val="0"/>
                <w:sz w:val="20"/>
                <w:szCs w:val="20"/>
                <w:lang w:eastAsia="en-GB"/>
                <w14:ligatures w14:val="none"/>
              </w:rPr>
            </w:pPr>
          </w:p>
        </w:tc>
      </w:tr>
      <w:tr w:rsidR="00431843" w:rsidRPr="00431843" w14:paraId="2DDB2E5F" w14:textId="77777777" w:rsidTr="00E5290B">
        <w:trPr>
          <w:trHeight w:val="775"/>
        </w:trPr>
        <w:tc>
          <w:tcPr>
            <w:tcW w:w="5240" w:type="dxa"/>
            <w:hideMark/>
          </w:tcPr>
          <w:p w14:paraId="5ECCAB36" w14:textId="0BF83428" w:rsidR="00431843" w:rsidRPr="00431843" w:rsidRDefault="00431843" w:rsidP="00431843">
            <w:pPr>
              <w:spacing w:after="0"/>
              <w:ind w:left="0"/>
              <w:jc w:val="left"/>
              <w:rPr>
                <w:rFonts w:ascii="Calibri" w:eastAsia="Times New Roman" w:hAnsi="Calibri" w:cs="Calibri"/>
                <w:kern w:val="0"/>
                <w:sz w:val="24"/>
                <w:szCs w:val="24"/>
                <w:lang w:eastAsia="en-GB"/>
                <w14:ligatures w14:val="none"/>
              </w:rPr>
            </w:pPr>
            <w:r w:rsidRPr="00431843">
              <w:rPr>
                <w:rFonts w:ascii="Calibri" w:eastAsia="Times New Roman" w:hAnsi="Calibri" w:cs="Calibri"/>
                <w:kern w:val="0"/>
                <w:sz w:val="24"/>
                <w:szCs w:val="24"/>
                <w:lang w:eastAsia="en-GB"/>
                <w14:ligatures w14:val="none"/>
              </w:rPr>
              <w:t>Comparison of fixed costs VS variables and simulation of possible changes of growth and adequacy to variation of demand.</w:t>
            </w:r>
          </w:p>
        </w:tc>
        <w:tc>
          <w:tcPr>
            <w:tcW w:w="4961" w:type="dxa"/>
            <w:hideMark/>
          </w:tcPr>
          <w:p w14:paraId="6CD12090" w14:textId="77777777" w:rsidR="00431843" w:rsidRPr="00431843" w:rsidRDefault="00431843" w:rsidP="00431843">
            <w:pPr>
              <w:spacing w:after="0"/>
              <w:ind w:left="0"/>
              <w:jc w:val="left"/>
              <w:rPr>
                <w:rFonts w:ascii="Times New Roman" w:eastAsia="Times New Roman" w:hAnsi="Times New Roman" w:cs="Times New Roman"/>
                <w:kern w:val="0"/>
                <w:sz w:val="20"/>
                <w:szCs w:val="20"/>
                <w:lang w:eastAsia="en-GB"/>
                <w14:ligatures w14:val="none"/>
              </w:rPr>
            </w:pPr>
          </w:p>
        </w:tc>
      </w:tr>
      <w:tr w:rsidR="00431843" w:rsidRPr="00431843" w14:paraId="551D1B71" w14:textId="77777777" w:rsidTr="00E5290B">
        <w:trPr>
          <w:trHeight w:val="319"/>
        </w:trPr>
        <w:tc>
          <w:tcPr>
            <w:tcW w:w="5240" w:type="dxa"/>
            <w:noWrap/>
            <w:hideMark/>
          </w:tcPr>
          <w:p w14:paraId="4C8EC84E" w14:textId="25AB71DE" w:rsidR="00431843" w:rsidRPr="00431843" w:rsidRDefault="00431843" w:rsidP="00431843">
            <w:pPr>
              <w:spacing w:after="0"/>
              <w:ind w:left="0"/>
              <w:jc w:val="left"/>
              <w:rPr>
                <w:rFonts w:ascii="Calibri" w:eastAsia="Times New Roman" w:hAnsi="Calibri" w:cs="Calibri"/>
                <w:kern w:val="0"/>
                <w:sz w:val="24"/>
                <w:szCs w:val="24"/>
                <w:lang w:eastAsia="en-GB"/>
                <w14:ligatures w14:val="none"/>
              </w:rPr>
            </w:pPr>
            <w:r w:rsidRPr="00431843">
              <w:rPr>
                <w:rFonts w:ascii="Calibri" w:eastAsia="Times New Roman" w:hAnsi="Calibri" w:cs="Calibri"/>
                <w:kern w:val="0"/>
                <w:sz w:val="24"/>
                <w:szCs w:val="24"/>
                <w:lang w:eastAsia="en-GB"/>
                <w14:ligatures w14:val="none"/>
              </w:rPr>
              <w:t>Differentiation of product / service from competitors.</w:t>
            </w:r>
          </w:p>
        </w:tc>
        <w:tc>
          <w:tcPr>
            <w:tcW w:w="4961" w:type="dxa"/>
            <w:hideMark/>
          </w:tcPr>
          <w:p w14:paraId="1CA7315A" w14:textId="77777777" w:rsidR="00431843" w:rsidRPr="00431843" w:rsidRDefault="00431843" w:rsidP="00431843">
            <w:pPr>
              <w:spacing w:after="0"/>
              <w:ind w:left="0"/>
              <w:jc w:val="left"/>
              <w:rPr>
                <w:rFonts w:ascii="Times New Roman" w:eastAsia="Times New Roman" w:hAnsi="Times New Roman" w:cs="Times New Roman"/>
                <w:kern w:val="0"/>
                <w:sz w:val="20"/>
                <w:szCs w:val="20"/>
                <w:lang w:eastAsia="en-GB"/>
                <w14:ligatures w14:val="none"/>
              </w:rPr>
            </w:pPr>
          </w:p>
        </w:tc>
      </w:tr>
      <w:tr w:rsidR="00431843" w:rsidRPr="00431843" w14:paraId="153B1F61" w14:textId="77777777" w:rsidTr="00E5290B">
        <w:trPr>
          <w:trHeight w:val="344"/>
        </w:trPr>
        <w:tc>
          <w:tcPr>
            <w:tcW w:w="5240" w:type="dxa"/>
            <w:noWrap/>
            <w:hideMark/>
          </w:tcPr>
          <w:p w14:paraId="58B29E68" w14:textId="4754B7FB" w:rsidR="00431843" w:rsidRPr="00431843" w:rsidRDefault="00431843" w:rsidP="00431843">
            <w:pPr>
              <w:spacing w:after="0"/>
              <w:ind w:left="0"/>
              <w:jc w:val="left"/>
              <w:rPr>
                <w:rFonts w:ascii="Calibri" w:eastAsia="Times New Roman" w:hAnsi="Calibri" w:cs="Calibri"/>
                <w:kern w:val="0"/>
                <w:sz w:val="24"/>
                <w:szCs w:val="24"/>
                <w:lang w:eastAsia="en-GB"/>
                <w14:ligatures w14:val="none"/>
              </w:rPr>
            </w:pPr>
            <w:r w:rsidRPr="00431843">
              <w:rPr>
                <w:rFonts w:ascii="Calibri" w:eastAsia="Times New Roman" w:hAnsi="Calibri" w:cs="Calibri"/>
                <w:kern w:val="0"/>
                <w:sz w:val="24"/>
                <w:szCs w:val="24"/>
                <w:lang w:eastAsia="en-GB"/>
                <w14:ligatures w14:val="none"/>
              </w:rPr>
              <w:t>Exit barriers in relation to legal, social, strategic relations and costs.</w:t>
            </w:r>
          </w:p>
        </w:tc>
        <w:tc>
          <w:tcPr>
            <w:tcW w:w="4961" w:type="dxa"/>
            <w:hideMark/>
          </w:tcPr>
          <w:p w14:paraId="5773EC3F" w14:textId="77777777" w:rsidR="00431843" w:rsidRPr="00431843" w:rsidRDefault="00431843" w:rsidP="00431843">
            <w:pPr>
              <w:spacing w:after="0"/>
              <w:ind w:left="0"/>
              <w:jc w:val="left"/>
              <w:rPr>
                <w:rFonts w:ascii="Times New Roman" w:eastAsia="Times New Roman" w:hAnsi="Times New Roman" w:cs="Times New Roman"/>
                <w:kern w:val="0"/>
                <w:sz w:val="20"/>
                <w:szCs w:val="20"/>
                <w:lang w:eastAsia="en-GB"/>
                <w14:ligatures w14:val="none"/>
              </w:rPr>
            </w:pPr>
          </w:p>
        </w:tc>
      </w:tr>
      <w:tr w:rsidR="00431843" w:rsidRPr="00431843" w14:paraId="5DF6BFF1" w14:textId="77777777" w:rsidTr="00E5290B">
        <w:trPr>
          <w:trHeight w:val="319"/>
        </w:trPr>
        <w:tc>
          <w:tcPr>
            <w:tcW w:w="5240" w:type="dxa"/>
            <w:noWrap/>
            <w:hideMark/>
          </w:tcPr>
          <w:p w14:paraId="182F94B2" w14:textId="0EEDEA64" w:rsidR="00431843" w:rsidRPr="00431843" w:rsidRDefault="00431843" w:rsidP="00431843">
            <w:pPr>
              <w:spacing w:after="0"/>
              <w:ind w:left="0"/>
              <w:jc w:val="left"/>
              <w:rPr>
                <w:rFonts w:ascii="Calibri" w:eastAsia="Times New Roman" w:hAnsi="Calibri" w:cs="Calibri"/>
                <w:kern w:val="0"/>
                <w:sz w:val="24"/>
                <w:szCs w:val="24"/>
                <w:lang w:eastAsia="en-GB"/>
                <w14:ligatures w14:val="none"/>
              </w:rPr>
            </w:pPr>
            <w:r w:rsidRPr="00431843">
              <w:rPr>
                <w:rFonts w:ascii="Calibri" w:eastAsia="Times New Roman" w:hAnsi="Calibri" w:cs="Calibri"/>
                <w:kern w:val="0"/>
                <w:sz w:val="24"/>
                <w:szCs w:val="24"/>
                <w:lang w:eastAsia="en-GB"/>
                <w14:ligatures w14:val="none"/>
              </w:rPr>
              <w:t>Evaluate the quantity VS diversity VS degree of influence of competitors.</w:t>
            </w:r>
          </w:p>
        </w:tc>
        <w:tc>
          <w:tcPr>
            <w:tcW w:w="4961" w:type="dxa"/>
            <w:hideMark/>
          </w:tcPr>
          <w:p w14:paraId="74683CF0" w14:textId="77777777" w:rsidR="00431843" w:rsidRPr="00431843" w:rsidRDefault="00431843" w:rsidP="00431843">
            <w:pPr>
              <w:spacing w:after="0"/>
              <w:ind w:left="0"/>
              <w:jc w:val="left"/>
              <w:rPr>
                <w:rFonts w:ascii="Times New Roman" w:eastAsia="Times New Roman" w:hAnsi="Times New Roman" w:cs="Times New Roman"/>
                <w:kern w:val="0"/>
                <w:sz w:val="20"/>
                <w:szCs w:val="20"/>
                <w:lang w:eastAsia="en-GB"/>
                <w14:ligatures w14:val="none"/>
              </w:rPr>
            </w:pPr>
          </w:p>
        </w:tc>
      </w:tr>
      <w:tr w:rsidR="00431843" w:rsidRPr="00431843" w14:paraId="06A12D1F" w14:textId="77777777" w:rsidTr="00E5290B">
        <w:trPr>
          <w:trHeight w:val="319"/>
        </w:trPr>
        <w:tc>
          <w:tcPr>
            <w:tcW w:w="5240" w:type="dxa"/>
            <w:noWrap/>
            <w:hideMark/>
          </w:tcPr>
          <w:p w14:paraId="5E2E6B06" w14:textId="0535F857" w:rsidR="00431843" w:rsidRPr="00431843" w:rsidRDefault="00431843" w:rsidP="00431843">
            <w:pPr>
              <w:spacing w:after="0"/>
              <w:ind w:left="0"/>
              <w:jc w:val="left"/>
              <w:rPr>
                <w:rFonts w:ascii="Calibri" w:eastAsia="Times New Roman" w:hAnsi="Calibri" w:cs="Calibri"/>
                <w:kern w:val="0"/>
                <w:sz w:val="24"/>
                <w:szCs w:val="24"/>
                <w:lang w:eastAsia="en-GB"/>
                <w14:ligatures w14:val="none"/>
              </w:rPr>
            </w:pPr>
            <w:r w:rsidRPr="00431843">
              <w:rPr>
                <w:rFonts w:ascii="Calibri" w:eastAsia="Times New Roman" w:hAnsi="Calibri" w:cs="Calibri"/>
                <w:kern w:val="0"/>
                <w:sz w:val="24"/>
                <w:szCs w:val="24"/>
                <w:lang w:eastAsia="en-GB"/>
                <w14:ligatures w14:val="none"/>
              </w:rPr>
              <w:t>Funding power and potential of competitors for investments in innovation and efficiency.</w:t>
            </w:r>
          </w:p>
        </w:tc>
        <w:tc>
          <w:tcPr>
            <w:tcW w:w="4961" w:type="dxa"/>
            <w:hideMark/>
          </w:tcPr>
          <w:p w14:paraId="35CCA34A" w14:textId="77777777" w:rsidR="00431843" w:rsidRPr="00431843" w:rsidRDefault="00431843" w:rsidP="00431843">
            <w:pPr>
              <w:spacing w:after="0"/>
              <w:ind w:left="0"/>
              <w:jc w:val="left"/>
              <w:rPr>
                <w:rFonts w:ascii="Times New Roman" w:eastAsia="Times New Roman" w:hAnsi="Times New Roman" w:cs="Times New Roman"/>
                <w:kern w:val="0"/>
                <w:sz w:val="20"/>
                <w:szCs w:val="20"/>
                <w:lang w:eastAsia="en-GB"/>
                <w14:ligatures w14:val="none"/>
              </w:rPr>
            </w:pPr>
          </w:p>
        </w:tc>
      </w:tr>
    </w:tbl>
    <w:p w14:paraId="1B3C9466" w14:textId="77777777" w:rsidR="00431843" w:rsidRDefault="00431843" w:rsidP="00431843">
      <w:pPr>
        <w:rPr>
          <w:b/>
          <w:bCs/>
          <w:sz w:val="28"/>
          <w:szCs w:val="28"/>
        </w:rPr>
      </w:pPr>
    </w:p>
    <w:p w14:paraId="28E995D1" w14:textId="77777777" w:rsidR="000D27D5" w:rsidRDefault="000D27D5" w:rsidP="00196AD2">
      <w:pPr>
        <w:ind w:left="0"/>
        <w:rPr>
          <w:b/>
          <w:bCs/>
          <w:sz w:val="28"/>
          <w:szCs w:val="28"/>
        </w:rPr>
      </w:pPr>
    </w:p>
    <w:p w14:paraId="33EA17EE" w14:textId="5BCCB6FF" w:rsidR="00E5290B" w:rsidRDefault="00196AD2" w:rsidP="00431843">
      <w:pPr>
        <w:rPr>
          <w:b/>
          <w:bCs/>
          <w:sz w:val="28"/>
          <w:szCs w:val="28"/>
        </w:rPr>
      </w:pPr>
      <w:r>
        <w:rPr>
          <w:b/>
          <w:bCs/>
          <w:sz w:val="28"/>
          <w:szCs w:val="28"/>
        </w:rPr>
        <w:lastRenderedPageBreak/>
        <w:t>LIKERT SCALE EVALUATIONS OF THE 5 FORCES OF PORTER</w:t>
      </w:r>
    </w:p>
    <w:tbl>
      <w:tblPr>
        <w:tblStyle w:val="Grigliatabella"/>
        <w:tblW w:w="0" w:type="auto"/>
        <w:tblInd w:w="567" w:type="dxa"/>
        <w:tblLook w:val="04A0" w:firstRow="1" w:lastRow="0" w:firstColumn="1" w:lastColumn="0" w:noHBand="0" w:noVBand="1"/>
      </w:tblPr>
      <w:tblGrid>
        <w:gridCol w:w="1812"/>
        <w:gridCol w:w="1812"/>
        <w:gridCol w:w="1812"/>
        <w:gridCol w:w="1812"/>
        <w:gridCol w:w="1813"/>
      </w:tblGrid>
      <w:tr w:rsidR="000D27D5" w14:paraId="125A6221" w14:textId="77777777" w:rsidTr="000D27D5">
        <w:tc>
          <w:tcPr>
            <w:tcW w:w="9061" w:type="dxa"/>
            <w:gridSpan w:val="5"/>
            <w:shd w:val="clear" w:color="auto" w:fill="F4B083" w:themeFill="accent2" w:themeFillTint="99"/>
          </w:tcPr>
          <w:p w14:paraId="68976068" w14:textId="32370519" w:rsidR="000D27D5" w:rsidRDefault="000D27D5" w:rsidP="003F223C">
            <w:pPr>
              <w:ind w:left="0"/>
              <w:jc w:val="center"/>
              <w:rPr>
                <w:b/>
                <w:bCs/>
                <w:sz w:val="28"/>
                <w:szCs w:val="28"/>
              </w:rPr>
            </w:pPr>
            <w:r w:rsidRPr="000D27D5">
              <w:rPr>
                <w:b/>
                <w:bCs/>
                <w:sz w:val="28"/>
                <w:szCs w:val="28"/>
              </w:rPr>
              <w:t>Threat of New Entrants</w:t>
            </w:r>
          </w:p>
        </w:tc>
      </w:tr>
      <w:tr w:rsidR="000D27D5" w14:paraId="54169EB5" w14:textId="77777777" w:rsidTr="00C62B32">
        <w:tc>
          <w:tcPr>
            <w:tcW w:w="9061" w:type="dxa"/>
            <w:gridSpan w:val="5"/>
          </w:tcPr>
          <w:p w14:paraId="3073587E" w14:textId="3AA99164" w:rsidR="000D27D5" w:rsidRPr="000D27D5" w:rsidRDefault="000D27D5" w:rsidP="003F223C">
            <w:pPr>
              <w:ind w:left="0"/>
              <w:jc w:val="center"/>
              <w:rPr>
                <w:u w:val="single"/>
              </w:rPr>
            </w:pPr>
            <w:r w:rsidRPr="000D27D5">
              <w:rPr>
                <w:u w:val="single"/>
              </w:rPr>
              <w:t>Supply-Side Economies of Scale</w:t>
            </w:r>
          </w:p>
        </w:tc>
      </w:tr>
      <w:tr w:rsidR="00D65CA7" w14:paraId="02A814A7" w14:textId="77777777" w:rsidTr="00C62B32">
        <w:tc>
          <w:tcPr>
            <w:tcW w:w="1812" w:type="dxa"/>
          </w:tcPr>
          <w:p w14:paraId="50970BE9" w14:textId="05CF7E5A" w:rsidR="00D65CA7" w:rsidRPr="00BA2A8E" w:rsidRDefault="00D65CA7" w:rsidP="003F223C">
            <w:pPr>
              <w:ind w:left="0"/>
              <w:jc w:val="center"/>
              <w:rPr>
                <w:b/>
                <w:bCs/>
              </w:rPr>
            </w:pPr>
            <w:r w:rsidRPr="00BA2A8E">
              <w:rPr>
                <w:b/>
                <w:bCs/>
              </w:rPr>
              <w:t>Low</w:t>
            </w:r>
          </w:p>
        </w:tc>
        <w:tc>
          <w:tcPr>
            <w:tcW w:w="1812" w:type="dxa"/>
          </w:tcPr>
          <w:p w14:paraId="4DB0BF83" w14:textId="77777777" w:rsidR="00D65CA7" w:rsidRPr="00BA2A8E" w:rsidRDefault="00D65CA7" w:rsidP="003F223C">
            <w:pPr>
              <w:ind w:left="0"/>
              <w:jc w:val="center"/>
              <w:rPr>
                <w:b/>
                <w:bCs/>
              </w:rPr>
            </w:pPr>
          </w:p>
        </w:tc>
        <w:tc>
          <w:tcPr>
            <w:tcW w:w="1812" w:type="dxa"/>
          </w:tcPr>
          <w:p w14:paraId="10AFE494" w14:textId="77777777" w:rsidR="00D65CA7" w:rsidRPr="00BA2A8E" w:rsidRDefault="00D65CA7" w:rsidP="003F223C">
            <w:pPr>
              <w:ind w:left="0"/>
              <w:jc w:val="center"/>
              <w:rPr>
                <w:b/>
                <w:bCs/>
              </w:rPr>
            </w:pPr>
          </w:p>
        </w:tc>
        <w:tc>
          <w:tcPr>
            <w:tcW w:w="1812" w:type="dxa"/>
          </w:tcPr>
          <w:p w14:paraId="46E0A907" w14:textId="77777777" w:rsidR="00D65CA7" w:rsidRPr="00BA2A8E" w:rsidRDefault="00D65CA7" w:rsidP="003F223C">
            <w:pPr>
              <w:ind w:left="0"/>
              <w:jc w:val="center"/>
              <w:rPr>
                <w:b/>
                <w:bCs/>
              </w:rPr>
            </w:pPr>
          </w:p>
        </w:tc>
        <w:tc>
          <w:tcPr>
            <w:tcW w:w="1813" w:type="dxa"/>
          </w:tcPr>
          <w:p w14:paraId="02D363CB" w14:textId="042EE444" w:rsidR="00D65CA7" w:rsidRPr="00BA2A8E" w:rsidRDefault="00D65CA7" w:rsidP="003F223C">
            <w:pPr>
              <w:ind w:left="0"/>
              <w:jc w:val="center"/>
              <w:rPr>
                <w:b/>
                <w:bCs/>
              </w:rPr>
            </w:pPr>
            <w:r w:rsidRPr="00BA2A8E">
              <w:rPr>
                <w:b/>
                <w:bCs/>
              </w:rPr>
              <w:t>High</w:t>
            </w:r>
          </w:p>
        </w:tc>
      </w:tr>
      <w:tr w:rsidR="000D27D5" w14:paraId="29F67BEC" w14:textId="77777777" w:rsidTr="000D27D5">
        <w:tc>
          <w:tcPr>
            <w:tcW w:w="9061" w:type="dxa"/>
            <w:gridSpan w:val="5"/>
          </w:tcPr>
          <w:p w14:paraId="052CFD1A" w14:textId="4A558EDE" w:rsidR="000D27D5" w:rsidRPr="00D65CA7" w:rsidRDefault="00D65CA7" w:rsidP="003F223C">
            <w:pPr>
              <w:ind w:left="0"/>
              <w:jc w:val="center"/>
              <w:rPr>
                <w:u w:val="single"/>
              </w:rPr>
            </w:pPr>
            <w:r w:rsidRPr="00D65CA7">
              <w:rPr>
                <w:u w:val="single"/>
              </w:rPr>
              <w:t>Demand-Side Benefits of Scale</w:t>
            </w:r>
          </w:p>
        </w:tc>
      </w:tr>
      <w:tr w:rsidR="00D65CA7" w14:paraId="547A4D4E" w14:textId="77777777" w:rsidTr="00C62B32">
        <w:tc>
          <w:tcPr>
            <w:tcW w:w="1812" w:type="dxa"/>
          </w:tcPr>
          <w:p w14:paraId="69F6FEAF" w14:textId="15415110" w:rsidR="00D65CA7" w:rsidRPr="00BA2A8E" w:rsidRDefault="00BA2A8E" w:rsidP="003F223C">
            <w:pPr>
              <w:ind w:left="0"/>
              <w:jc w:val="center"/>
              <w:rPr>
                <w:b/>
                <w:bCs/>
              </w:rPr>
            </w:pPr>
            <w:r w:rsidRPr="00BA2A8E">
              <w:rPr>
                <w:b/>
                <w:bCs/>
              </w:rPr>
              <w:t>Low Network Effects</w:t>
            </w:r>
          </w:p>
        </w:tc>
        <w:tc>
          <w:tcPr>
            <w:tcW w:w="1812" w:type="dxa"/>
          </w:tcPr>
          <w:p w14:paraId="43957057" w14:textId="77777777" w:rsidR="00D65CA7" w:rsidRPr="00BA2A8E" w:rsidRDefault="00D65CA7" w:rsidP="003F223C">
            <w:pPr>
              <w:ind w:left="0"/>
              <w:jc w:val="center"/>
              <w:rPr>
                <w:b/>
                <w:bCs/>
              </w:rPr>
            </w:pPr>
          </w:p>
        </w:tc>
        <w:tc>
          <w:tcPr>
            <w:tcW w:w="1812" w:type="dxa"/>
          </w:tcPr>
          <w:p w14:paraId="5703A19B" w14:textId="77777777" w:rsidR="00D65CA7" w:rsidRPr="00BA2A8E" w:rsidRDefault="00D65CA7" w:rsidP="003F223C">
            <w:pPr>
              <w:ind w:left="0"/>
              <w:jc w:val="center"/>
              <w:rPr>
                <w:b/>
                <w:bCs/>
              </w:rPr>
            </w:pPr>
          </w:p>
        </w:tc>
        <w:tc>
          <w:tcPr>
            <w:tcW w:w="1812" w:type="dxa"/>
          </w:tcPr>
          <w:p w14:paraId="415B95A5" w14:textId="77777777" w:rsidR="00D65CA7" w:rsidRPr="00BA2A8E" w:rsidRDefault="00D65CA7" w:rsidP="003F223C">
            <w:pPr>
              <w:ind w:left="0"/>
              <w:jc w:val="center"/>
              <w:rPr>
                <w:b/>
                <w:bCs/>
              </w:rPr>
            </w:pPr>
          </w:p>
        </w:tc>
        <w:tc>
          <w:tcPr>
            <w:tcW w:w="1813" w:type="dxa"/>
          </w:tcPr>
          <w:p w14:paraId="6FFCE8C2" w14:textId="7F11594B" w:rsidR="00D65CA7" w:rsidRPr="00BA2A8E" w:rsidRDefault="00BA2A8E" w:rsidP="003F223C">
            <w:pPr>
              <w:ind w:left="0"/>
              <w:jc w:val="center"/>
              <w:rPr>
                <w:b/>
                <w:bCs/>
              </w:rPr>
            </w:pPr>
            <w:r w:rsidRPr="00BA2A8E">
              <w:rPr>
                <w:b/>
                <w:bCs/>
              </w:rPr>
              <w:t>High Network Effects</w:t>
            </w:r>
          </w:p>
        </w:tc>
      </w:tr>
      <w:tr w:rsidR="000D27D5" w14:paraId="2895AFD1" w14:textId="77777777" w:rsidTr="000D27D5">
        <w:tc>
          <w:tcPr>
            <w:tcW w:w="9061" w:type="dxa"/>
            <w:gridSpan w:val="5"/>
          </w:tcPr>
          <w:p w14:paraId="72F47E14" w14:textId="3E1F8265" w:rsidR="000D27D5" w:rsidRPr="00BA2A8E" w:rsidRDefault="00BA2A8E" w:rsidP="003F223C">
            <w:pPr>
              <w:ind w:left="0"/>
              <w:jc w:val="center"/>
              <w:rPr>
                <w:b/>
                <w:bCs/>
                <w:sz w:val="28"/>
                <w:szCs w:val="28"/>
                <w:u w:val="single"/>
              </w:rPr>
            </w:pPr>
            <w:r w:rsidRPr="00BA2A8E">
              <w:rPr>
                <w:u w:val="single"/>
              </w:rPr>
              <w:t>Switching Costs</w:t>
            </w:r>
          </w:p>
        </w:tc>
      </w:tr>
      <w:tr w:rsidR="00BA2A8E" w14:paraId="7546656E" w14:textId="77777777" w:rsidTr="00C62B32">
        <w:tc>
          <w:tcPr>
            <w:tcW w:w="1812" w:type="dxa"/>
          </w:tcPr>
          <w:p w14:paraId="24C7DF89" w14:textId="18E99631" w:rsidR="00BA2A8E" w:rsidRPr="00BA2A8E" w:rsidRDefault="00BA2A8E" w:rsidP="003F223C">
            <w:pPr>
              <w:ind w:left="0"/>
              <w:jc w:val="center"/>
              <w:rPr>
                <w:b/>
                <w:bCs/>
              </w:rPr>
            </w:pPr>
            <w:r w:rsidRPr="00BA2A8E">
              <w:rPr>
                <w:b/>
                <w:bCs/>
              </w:rPr>
              <w:t>Low</w:t>
            </w:r>
          </w:p>
        </w:tc>
        <w:tc>
          <w:tcPr>
            <w:tcW w:w="1812" w:type="dxa"/>
          </w:tcPr>
          <w:p w14:paraId="22D744C4" w14:textId="77777777" w:rsidR="00BA2A8E" w:rsidRPr="00BA2A8E" w:rsidRDefault="00BA2A8E" w:rsidP="003F223C">
            <w:pPr>
              <w:ind w:left="0"/>
              <w:jc w:val="center"/>
              <w:rPr>
                <w:b/>
                <w:bCs/>
              </w:rPr>
            </w:pPr>
          </w:p>
        </w:tc>
        <w:tc>
          <w:tcPr>
            <w:tcW w:w="1812" w:type="dxa"/>
          </w:tcPr>
          <w:p w14:paraId="3775DD4F" w14:textId="77777777" w:rsidR="00BA2A8E" w:rsidRPr="00BA2A8E" w:rsidRDefault="00BA2A8E" w:rsidP="003F223C">
            <w:pPr>
              <w:ind w:left="0"/>
              <w:jc w:val="center"/>
              <w:rPr>
                <w:b/>
                <w:bCs/>
              </w:rPr>
            </w:pPr>
          </w:p>
        </w:tc>
        <w:tc>
          <w:tcPr>
            <w:tcW w:w="1812" w:type="dxa"/>
          </w:tcPr>
          <w:p w14:paraId="3FB7EBD4" w14:textId="77777777" w:rsidR="00BA2A8E" w:rsidRPr="00BA2A8E" w:rsidRDefault="00BA2A8E" w:rsidP="003F223C">
            <w:pPr>
              <w:ind w:left="0"/>
              <w:jc w:val="center"/>
              <w:rPr>
                <w:b/>
                <w:bCs/>
              </w:rPr>
            </w:pPr>
          </w:p>
        </w:tc>
        <w:tc>
          <w:tcPr>
            <w:tcW w:w="1813" w:type="dxa"/>
          </w:tcPr>
          <w:p w14:paraId="1186A3CB" w14:textId="10D49ECD" w:rsidR="00BA2A8E" w:rsidRPr="00BA2A8E" w:rsidRDefault="00BA2A8E" w:rsidP="003F223C">
            <w:pPr>
              <w:ind w:left="0"/>
              <w:jc w:val="center"/>
              <w:rPr>
                <w:b/>
                <w:bCs/>
              </w:rPr>
            </w:pPr>
            <w:r w:rsidRPr="00BA2A8E">
              <w:rPr>
                <w:b/>
                <w:bCs/>
              </w:rPr>
              <w:t>High</w:t>
            </w:r>
          </w:p>
        </w:tc>
      </w:tr>
      <w:tr w:rsidR="000D27D5" w14:paraId="16ED0210" w14:textId="77777777" w:rsidTr="000D27D5">
        <w:tc>
          <w:tcPr>
            <w:tcW w:w="9061" w:type="dxa"/>
            <w:gridSpan w:val="5"/>
          </w:tcPr>
          <w:p w14:paraId="16E2D408" w14:textId="644278F8" w:rsidR="000D27D5" w:rsidRPr="003F223C" w:rsidRDefault="003F223C" w:rsidP="003F223C">
            <w:pPr>
              <w:ind w:left="0"/>
              <w:jc w:val="center"/>
              <w:rPr>
                <w:b/>
                <w:bCs/>
                <w:sz w:val="28"/>
                <w:szCs w:val="28"/>
                <w:u w:val="single"/>
              </w:rPr>
            </w:pPr>
            <w:r w:rsidRPr="003F223C">
              <w:rPr>
                <w:u w:val="single"/>
              </w:rPr>
              <w:t>Capital Requirements</w:t>
            </w:r>
          </w:p>
        </w:tc>
      </w:tr>
      <w:tr w:rsidR="003F223C" w14:paraId="26EBA345" w14:textId="77777777" w:rsidTr="00C62B32">
        <w:tc>
          <w:tcPr>
            <w:tcW w:w="1812" w:type="dxa"/>
          </w:tcPr>
          <w:p w14:paraId="6AD74912" w14:textId="0E9BD8B9" w:rsidR="003F223C" w:rsidRPr="003F223C" w:rsidRDefault="003F223C" w:rsidP="003F223C">
            <w:pPr>
              <w:ind w:left="0"/>
              <w:jc w:val="center"/>
              <w:rPr>
                <w:b/>
                <w:bCs/>
              </w:rPr>
            </w:pPr>
            <w:r w:rsidRPr="003F223C">
              <w:rPr>
                <w:b/>
                <w:bCs/>
              </w:rPr>
              <w:t>Low</w:t>
            </w:r>
          </w:p>
        </w:tc>
        <w:tc>
          <w:tcPr>
            <w:tcW w:w="1812" w:type="dxa"/>
          </w:tcPr>
          <w:p w14:paraId="601B235C" w14:textId="77777777" w:rsidR="003F223C" w:rsidRPr="003F223C" w:rsidRDefault="003F223C" w:rsidP="003F223C">
            <w:pPr>
              <w:ind w:left="0"/>
              <w:jc w:val="center"/>
              <w:rPr>
                <w:b/>
                <w:bCs/>
              </w:rPr>
            </w:pPr>
          </w:p>
        </w:tc>
        <w:tc>
          <w:tcPr>
            <w:tcW w:w="1812" w:type="dxa"/>
          </w:tcPr>
          <w:p w14:paraId="0C2868F3" w14:textId="77777777" w:rsidR="003F223C" w:rsidRPr="003F223C" w:rsidRDefault="003F223C" w:rsidP="003F223C">
            <w:pPr>
              <w:ind w:left="0"/>
              <w:jc w:val="center"/>
              <w:rPr>
                <w:b/>
                <w:bCs/>
              </w:rPr>
            </w:pPr>
          </w:p>
        </w:tc>
        <w:tc>
          <w:tcPr>
            <w:tcW w:w="1812" w:type="dxa"/>
          </w:tcPr>
          <w:p w14:paraId="054EF4AB" w14:textId="77777777" w:rsidR="003F223C" w:rsidRPr="003F223C" w:rsidRDefault="003F223C" w:rsidP="003F223C">
            <w:pPr>
              <w:ind w:left="0"/>
              <w:jc w:val="center"/>
              <w:rPr>
                <w:b/>
                <w:bCs/>
              </w:rPr>
            </w:pPr>
          </w:p>
        </w:tc>
        <w:tc>
          <w:tcPr>
            <w:tcW w:w="1813" w:type="dxa"/>
          </w:tcPr>
          <w:p w14:paraId="1D74DA69" w14:textId="44FF00EF" w:rsidR="003F223C" w:rsidRPr="003F223C" w:rsidRDefault="003F223C" w:rsidP="003F223C">
            <w:pPr>
              <w:ind w:left="0"/>
              <w:jc w:val="center"/>
              <w:rPr>
                <w:b/>
                <w:bCs/>
              </w:rPr>
            </w:pPr>
            <w:r w:rsidRPr="003F223C">
              <w:rPr>
                <w:b/>
                <w:bCs/>
              </w:rPr>
              <w:t>High</w:t>
            </w:r>
          </w:p>
        </w:tc>
      </w:tr>
      <w:tr w:rsidR="000D27D5" w14:paraId="05D6EF50" w14:textId="77777777" w:rsidTr="000D27D5">
        <w:tc>
          <w:tcPr>
            <w:tcW w:w="9061" w:type="dxa"/>
            <w:gridSpan w:val="5"/>
          </w:tcPr>
          <w:p w14:paraId="38E35F97" w14:textId="466A45EC" w:rsidR="000D27D5" w:rsidRPr="003F223C" w:rsidRDefault="003F223C" w:rsidP="003F223C">
            <w:pPr>
              <w:ind w:left="0"/>
              <w:jc w:val="center"/>
              <w:rPr>
                <w:b/>
                <w:bCs/>
                <w:sz w:val="28"/>
                <w:szCs w:val="28"/>
                <w:u w:val="single"/>
              </w:rPr>
            </w:pPr>
            <w:r w:rsidRPr="003F223C">
              <w:rPr>
                <w:u w:val="single"/>
              </w:rPr>
              <w:t>Incumbency</w:t>
            </w:r>
          </w:p>
        </w:tc>
      </w:tr>
      <w:tr w:rsidR="003F223C" w14:paraId="31ECBCA0" w14:textId="77777777" w:rsidTr="00C62B32">
        <w:tc>
          <w:tcPr>
            <w:tcW w:w="1812" w:type="dxa"/>
          </w:tcPr>
          <w:p w14:paraId="75C45D7E" w14:textId="134858E4" w:rsidR="003F223C" w:rsidRPr="003F223C" w:rsidRDefault="003F223C" w:rsidP="003F223C">
            <w:pPr>
              <w:ind w:left="0"/>
              <w:jc w:val="center"/>
              <w:rPr>
                <w:b/>
                <w:bCs/>
              </w:rPr>
            </w:pPr>
            <w:r w:rsidRPr="003F223C">
              <w:rPr>
                <w:b/>
                <w:bCs/>
              </w:rPr>
              <w:t>Low</w:t>
            </w:r>
          </w:p>
        </w:tc>
        <w:tc>
          <w:tcPr>
            <w:tcW w:w="1812" w:type="dxa"/>
          </w:tcPr>
          <w:p w14:paraId="094391BB" w14:textId="77777777" w:rsidR="003F223C" w:rsidRPr="003F223C" w:rsidRDefault="003F223C" w:rsidP="003F223C">
            <w:pPr>
              <w:ind w:left="0"/>
              <w:jc w:val="center"/>
              <w:rPr>
                <w:b/>
                <w:bCs/>
              </w:rPr>
            </w:pPr>
          </w:p>
        </w:tc>
        <w:tc>
          <w:tcPr>
            <w:tcW w:w="1812" w:type="dxa"/>
          </w:tcPr>
          <w:p w14:paraId="003A563B" w14:textId="77777777" w:rsidR="003F223C" w:rsidRPr="003F223C" w:rsidRDefault="003F223C" w:rsidP="003F223C">
            <w:pPr>
              <w:ind w:left="0"/>
              <w:jc w:val="center"/>
              <w:rPr>
                <w:b/>
                <w:bCs/>
              </w:rPr>
            </w:pPr>
          </w:p>
        </w:tc>
        <w:tc>
          <w:tcPr>
            <w:tcW w:w="1812" w:type="dxa"/>
          </w:tcPr>
          <w:p w14:paraId="590AB7C0" w14:textId="77777777" w:rsidR="003F223C" w:rsidRPr="003F223C" w:rsidRDefault="003F223C" w:rsidP="003F223C">
            <w:pPr>
              <w:ind w:left="0"/>
              <w:jc w:val="center"/>
              <w:rPr>
                <w:b/>
                <w:bCs/>
              </w:rPr>
            </w:pPr>
          </w:p>
        </w:tc>
        <w:tc>
          <w:tcPr>
            <w:tcW w:w="1813" w:type="dxa"/>
          </w:tcPr>
          <w:p w14:paraId="21A7802B" w14:textId="68FF0E2A" w:rsidR="003F223C" w:rsidRPr="003F223C" w:rsidRDefault="003F223C" w:rsidP="003F223C">
            <w:pPr>
              <w:ind w:left="0"/>
              <w:jc w:val="center"/>
              <w:rPr>
                <w:b/>
                <w:bCs/>
              </w:rPr>
            </w:pPr>
            <w:r w:rsidRPr="003F223C">
              <w:rPr>
                <w:b/>
                <w:bCs/>
              </w:rPr>
              <w:t>High</w:t>
            </w:r>
          </w:p>
        </w:tc>
      </w:tr>
      <w:tr w:rsidR="000D27D5" w14:paraId="2B8A842C" w14:textId="77777777" w:rsidTr="000D27D5">
        <w:tc>
          <w:tcPr>
            <w:tcW w:w="9061" w:type="dxa"/>
            <w:gridSpan w:val="5"/>
          </w:tcPr>
          <w:p w14:paraId="620D1925" w14:textId="5EAF71EB" w:rsidR="000D27D5" w:rsidRPr="003F223C" w:rsidRDefault="003F223C" w:rsidP="003F223C">
            <w:pPr>
              <w:ind w:left="0"/>
              <w:jc w:val="center"/>
              <w:rPr>
                <w:b/>
                <w:bCs/>
                <w:sz w:val="28"/>
                <w:szCs w:val="28"/>
                <w:u w:val="single"/>
              </w:rPr>
            </w:pPr>
            <w:r w:rsidRPr="003F223C">
              <w:rPr>
                <w:u w:val="single"/>
              </w:rPr>
              <w:t>Distribution Channels</w:t>
            </w:r>
          </w:p>
        </w:tc>
      </w:tr>
      <w:tr w:rsidR="003F223C" w14:paraId="3B134C82" w14:textId="77777777" w:rsidTr="00C62B32">
        <w:tc>
          <w:tcPr>
            <w:tcW w:w="1812" w:type="dxa"/>
          </w:tcPr>
          <w:p w14:paraId="72CB67E7" w14:textId="626F6DAB" w:rsidR="003F223C" w:rsidRDefault="003F223C" w:rsidP="003F223C">
            <w:pPr>
              <w:ind w:left="0"/>
              <w:jc w:val="center"/>
              <w:rPr>
                <w:b/>
                <w:bCs/>
                <w:sz w:val="28"/>
                <w:szCs w:val="28"/>
              </w:rPr>
            </w:pPr>
            <w:r w:rsidRPr="003F223C">
              <w:rPr>
                <w:b/>
                <w:bCs/>
              </w:rPr>
              <w:t>L</w:t>
            </w:r>
            <w:r>
              <w:rPr>
                <w:b/>
                <w:bCs/>
              </w:rPr>
              <w:t xml:space="preserve">imited access </w:t>
            </w:r>
          </w:p>
        </w:tc>
        <w:tc>
          <w:tcPr>
            <w:tcW w:w="1812" w:type="dxa"/>
          </w:tcPr>
          <w:p w14:paraId="005DF7F7" w14:textId="77777777" w:rsidR="003F223C" w:rsidRDefault="003F223C" w:rsidP="003F223C">
            <w:pPr>
              <w:ind w:left="0"/>
              <w:jc w:val="center"/>
              <w:rPr>
                <w:b/>
                <w:bCs/>
                <w:sz w:val="28"/>
                <w:szCs w:val="28"/>
              </w:rPr>
            </w:pPr>
          </w:p>
        </w:tc>
        <w:tc>
          <w:tcPr>
            <w:tcW w:w="1812" w:type="dxa"/>
          </w:tcPr>
          <w:p w14:paraId="2FFE79B3" w14:textId="77777777" w:rsidR="003F223C" w:rsidRDefault="003F223C" w:rsidP="003F223C">
            <w:pPr>
              <w:ind w:left="0"/>
              <w:jc w:val="center"/>
              <w:rPr>
                <w:b/>
                <w:bCs/>
                <w:sz w:val="28"/>
                <w:szCs w:val="28"/>
              </w:rPr>
            </w:pPr>
          </w:p>
        </w:tc>
        <w:tc>
          <w:tcPr>
            <w:tcW w:w="1812" w:type="dxa"/>
          </w:tcPr>
          <w:p w14:paraId="508F9FFE" w14:textId="77777777" w:rsidR="003F223C" w:rsidRDefault="003F223C" w:rsidP="003F223C">
            <w:pPr>
              <w:ind w:left="0"/>
              <w:jc w:val="center"/>
              <w:rPr>
                <w:b/>
                <w:bCs/>
                <w:sz w:val="28"/>
                <w:szCs w:val="28"/>
              </w:rPr>
            </w:pPr>
          </w:p>
        </w:tc>
        <w:tc>
          <w:tcPr>
            <w:tcW w:w="1813" w:type="dxa"/>
          </w:tcPr>
          <w:p w14:paraId="28AE2021" w14:textId="1FC0CFC6" w:rsidR="003F223C" w:rsidRDefault="003F223C" w:rsidP="003F223C">
            <w:pPr>
              <w:ind w:left="0"/>
              <w:jc w:val="center"/>
              <w:rPr>
                <w:b/>
                <w:bCs/>
                <w:sz w:val="28"/>
                <w:szCs w:val="28"/>
              </w:rPr>
            </w:pPr>
            <w:r>
              <w:rPr>
                <w:b/>
                <w:bCs/>
              </w:rPr>
              <w:t>Easy access</w:t>
            </w:r>
          </w:p>
        </w:tc>
      </w:tr>
      <w:tr w:rsidR="003F223C" w14:paraId="16B8670E" w14:textId="77777777" w:rsidTr="00C62B32">
        <w:tc>
          <w:tcPr>
            <w:tcW w:w="9061" w:type="dxa"/>
            <w:gridSpan w:val="5"/>
          </w:tcPr>
          <w:p w14:paraId="3F6166FA" w14:textId="786768E3" w:rsidR="003F223C" w:rsidRPr="003F223C" w:rsidRDefault="003F223C" w:rsidP="003F223C">
            <w:pPr>
              <w:ind w:left="0"/>
              <w:jc w:val="center"/>
              <w:rPr>
                <w:b/>
                <w:bCs/>
                <w:u w:val="single"/>
              </w:rPr>
            </w:pPr>
            <w:r w:rsidRPr="003F223C">
              <w:rPr>
                <w:u w:val="single"/>
              </w:rPr>
              <w:t>Government Policy</w:t>
            </w:r>
          </w:p>
        </w:tc>
      </w:tr>
      <w:tr w:rsidR="003F223C" w14:paraId="248A2E17" w14:textId="77777777" w:rsidTr="00C62B32">
        <w:tc>
          <w:tcPr>
            <w:tcW w:w="1812" w:type="dxa"/>
          </w:tcPr>
          <w:p w14:paraId="3B565396" w14:textId="798DE151" w:rsidR="003F223C" w:rsidRPr="003F223C" w:rsidRDefault="003F223C" w:rsidP="003F223C">
            <w:pPr>
              <w:ind w:left="0"/>
              <w:jc w:val="center"/>
              <w:rPr>
                <w:b/>
                <w:bCs/>
              </w:rPr>
            </w:pPr>
            <w:r>
              <w:rPr>
                <w:b/>
                <w:bCs/>
              </w:rPr>
              <w:t>Subsidies</w:t>
            </w:r>
          </w:p>
        </w:tc>
        <w:tc>
          <w:tcPr>
            <w:tcW w:w="1812" w:type="dxa"/>
          </w:tcPr>
          <w:p w14:paraId="79D1709D" w14:textId="77777777" w:rsidR="003F223C" w:rsidRDefault="003F223C" w:rsidP="003F223C">
            <w:pPr>
              <w:ind w:left="0"/>
              <w:jc w:val="center"/>
              <w:rPr>
                <w:b/>
                <w:bCs/>
                <w:sz w:val="28"/>
                <w:szCs w:val="28"/>
              </w:rPr>
            </w:pPr>
          </w:p>
        </w:tc>
        <w:tc>
          <w:tcPr>
            <w:tcW w:w="1812" w:type="dxa"/>
          </w:tcPr>
          <w:p w14:paraId="72DA300B" w14:textId="77777777" w:rsidR="003F223C" w:rsidRDefault="003F223C" w:rsidP="003F223C">
            <w:pPr>
              <w:ind w:left="0"/>
              <w:jc w:val="center"/>
              <w:rPr>
                <w:b/>
                <w:bCs/>
                <w:sz w:val="28"/>
                <w:szCs w:val="28"/>
              </w:rPr>
            </w:pPr>
          </w:p>
        </w:tc>
        <w:tc>
          <w:tcPr>
            <w:tcW w:w="1812" w:type="dxa"/>
          </w:tcPr>
          <w:p w14:paraId="3771FD53" w14:textId="77777777" w:rsidR="003F223C" w:rsidRDefault="003F223C" w:rsidP="003F223C">
            <w:pPr>
              <w:ind w:left="0"/>
              <w:jc w:val="center"/>
              <w:rPr>
                <w:b/>
                <w:bCs/>
                <w:sz w:val="28"/>
                <w:szCs w:val="28"/>
              </w:rPr>
            </w:pPr>
          </w:p>
        </w:tc>
        <w:tc>
          <w:tcPr>
            <w:tcW w:w="1813" w:type="dxa"/>
          </w:tcPr>
          <w:p w14:paraId="2B101F36" w14:textId="6C07928B" w:rsidR="003F223C" w:rsidRPr="003F223C" w:rsidRDefault="003F223C" w:rsidP="003F223C">
            <w:pPr>
              <w:ind w:left="0"/>
              <w:jc w:val="center"/>
              <w:rPr>
                <w:b/>
                <w:bCs/>
              </w:rPr>
            </w:pPr>
            <w:r>
              <w:rPr>
                <w:b/>
                <w:bCs/>
              </w:rPr>
              <w:t>regulations</w:t>
            </w:r>
          </w:p>
        </w:tc>
      </w:tr>
      <w:tr w:rsidR="003F223C" w14:paraId="099B78D1" w14:textId="77777777" w:rsidTr="00C62B32">
        <w:tc>
          <w:tcPr>
            <w:tcW w:w="9061" w:type="dxa"/>
            <w:gridSpan w:val="5"/>
          </w:tcPr>
          <w:p w14:paraId="4D993538" w14:textId="517D27C1" w:rsidR="003F223C" w:rsidRPr="003F223C" w:rsidRDefault="003F223C" w:rsidP="003F223C">
            <w:pPr>
              <w:ind w:left="0"/>
              <w:jc w:val="center"/>
              <w:rPr>
                <w:u w:val="single"/>
              </w:rPr>
            </w:pPr>
            <w:r w:rsidRPr="003F223C">
              <w:rPr>
                <w:u w:val="single"/>
              </w:rPr>
              <w:t>Anticipated Incumbent Response</w:t>
            </w:r>
          </w:p>
        </w:tc>
      </w:tr>
      <w:tr w:rsidR="003F223C" w14:paraId="1CE59673" w14:textId="77777777" w:rsidTr="00C62B32">
        <w:tc>
          <w:tcPr>
            <w:tcW w:w="1812" w:type="dxa"/>
          </w:tcPr>
          <w:p w14:paraId="2C76AABE" w14:textId="3F41E077" w:rsidR="003F223C" w:rsidRDefault="003F223C" w:rsidP="003F223C">
            <w:pPr>
              <w:ind w:left="0"/>
              <w:jc w:val="center"/>
              <w:rPr>
                <w:b/>
                <w:bCs/>
              </w:rPr>
            </w:pPr>
            <w:r>
              <w:rPr>
                <w:b/>
                <w:bCs/>
              </w:rPr>
              <w:t xml:space="preserve">Welcoming </w:t>
            </w:r>
          </w:p>
        </w:tc>
        <w:tc>
          <w:tcPr>
            <w:tcW w:w="1812" w:type="dxa"/>
          </w:tcPr>
          <w:p w14:paraId="5F80F311" w14:textId="77777777" w:rsidR="003F223C" w:rsidRDefault="003F223C" w:rsidP="003F223C">
            <w:pPr>
              <w:ind w:left="0"/>
              <w:jc w:val="center"/>
              <w:rPr>
                <w:b/>
                <w:bCs/>
                <w:sz w:val="28"/>
                <w:szCs w:val="28"/>
              </w:rPr>
            </w:pPr>
          </w:p>
        </w:tc>
        <w:tc>
          <w:tcPr>
            <w:tcW w:w="1812" w:type="dxa"/>
          </w:tcPr>
          <w:p w14:paraId="70F9CE48" w14:textId="77777777" w:rsidR="003F223C" w:rsidRDefault="003F223C" w:rsidP="003F223C">
            <w:pPr>
              <w:ind w:left="0"/>
              <w:jc w:val="center"/>
              <w:rPr>
                <w:b/>
                <w:bCs/>
                <w:sz w:val="28"/>
                <w:szCs w:val="28"/>
              </w:rPr>
            </w:pPr>
          </w:p>
        </w:tc>
        <w:tc>
          <w:tcPr>
            <w:tcW w:w="1812" w:type="dxa"/>
          </w:tcPr>
          <w:p w14:paraId="3A6B8AB4" w14:textId="77777777" w:rsidR="003F223C" w:rsidRDefault="003F223C" w:rsidP="003F223C">
            <w:pPr>
              <w:ind w:left="0"/>
              <w:jc w:val="center"/>
              <w:rPr>
                <w:b/>
                <w:bCs/>
                <w:sz w:val="28"/>
                <w:szCs w:val="28"/>
              </w:rPr>
            </w:pPr>
          </w:p>
        </w:tc>
        <w:tc>
          <w:tcPr>
            <w:tcW w:w="1813" w:type="dxa"/>
          </w:tcPr>
          <w:p w14:paraId="4AB5009E" w14:textId="39A0AAC7" w:rsidR="003F223C" w:rsidRDefault="003F223C" w:rsidP="003F223C">
            <w:pPr>
              <w:ind w:left="0"/>
              <w:jc w:val="center"/>
              <w:rPr>
                <w:b/>
                <w:bCs/>
              </w:rPr>
            </w:pPr>
            <w:r>
              <w:rPr>
                <w:b/>
                <w:bCs/>
              </w:rPr>
              <w:t xml:space="preserve">Retaliatory </w:t>
            </w:r>
          </w:p>
        </w:tc>
      </w:tr>
    </w:tbl>
    <w:p w14:paraId="12C59D3E" w14:textId="5318FA0B" w:rsidR="00196AD2" w:rsidRPr="00C930E1" w:rsidRDefault="00196AD2">
      <w:pPr>
        <w:spacing w:after="160" w:line="259" w:lineRule="auto"/>
        <w:ind w:left="0"/>
        <w:jc w:val="left"/>
        <w:rPr>
          <w:b/>
          <w:bCs/>
          <w:sz w:val="16"/>
          <w:szCs w:val="16"/>
        </w:rPr>
      </w:pPr>
      <w:r w:rsidRPr="00C930E1">
        <w:rPr>
          <w:b/>
          <w:bCs/>
          <w:sz w:val="16"/>
          <w:szCs w:val="16"/>
        </w:rPr>
        <w:t xml:space="preserve">PS: the spider diagrams are formatted from 1 to </w:t>
      </w:r>
      <w:r w:rsidR="00112FE6" w:rsidRPr="00C930E1">
        <w:rPr>
          <w:b/>
          <w:bCs/>
          <w:sz w:val="16"/>
          <w:szCs w:val="16"/>
        </w:rPr>
        <w:t>5,</w:t>
      </w:r>
      <w:r w:rsidRPr="00C930E1">
        <w:rPr>
          <w:b/>
          <w:bCs/>
          <w:sz w:val="16"/>
          <w:szCs w:val="16"/>
        </w:rPr>
        <w:t xml:space="preserve"> with 1 representing the lower end of the spectrum </w:t>
      </w:r>
      <w:r w:rsidR="00D45C6D" w:rsidRPr="00C930E1">
        <w:rPr>
          <w:b/>
          <w:bCs/>
          <w:sz w:val="16"/>
          <w:szCs w:val="16"/>
        </w:rPr>
        <w:t>and 5 representing</w:t>
      </w:r>
      <w:r w:rsidRPr="00C930E1">
        <w:rPr>
          <w:b/>
          <w:bCs/>
          <w:sz w:val="16"/>
          <w:szCs w:val="16"/>
        </w:rPr>
        <w:t xml:space="preserve"> the highest one. </w:t>
      </w:r>
    </w:p>
    <w:p w14:paraId="13717963" w14:textId="6CF0F491" w:rsidR="00196AD2" w:rsidRDefault="00196AD2">
      <w:pPr>
        <w:spacing w:after="160" w:line="259" w:lineRule="auto"/>
        <w:ind w:left="0"/>
        <w:jc w:val="left"/>
        <w:rPr>
          <w:b/>
          <w:bCs/>
          <w:sz w:val="28"/>
          <w:szCs w:val="28"/>
        </w:rPr>
      </w:pPr>
      <w:r>
        <w:rPr>
          <w:b/>
          <w:bCs/>
          <w:noProof/>
          <w:sz w:val="28"/>
          <w:szCs w:val="28"/>
        </w:rPr>
        <w:drawing>
          <wp:inline distT="0" distB="0" distL="0" distR="0" wp14:anchorId="2A7C0C7A" wp14:editId="2D529BBC">
            <wp:extent cx="6200775" cy="3733800"/>
            <wp:effectExtent l="0" t="0" r="9525" b="0"/>
            <wp:docPr id="136270864" name="Gra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5E91CEA" w14:textId="77777777" w:rsidR="00C930E1" w:rsidRDefault="00C930E1">
      <w:pPr>
        <w:spacing w:after="160" w:line="259" w:lineRule="auto"/>
        <w:ind w:left="0"/>
        <w:jc w:val="left"/>
        <w:rPr>
          <w:b/>
          <w:bCs/>
          <w:sz w:val="28"/>
          <w:szCs w:val="28"/>
        </w:rPr>
      </w:pPr>
    </w:p>
    <w:tbl>
      <w:tblPr>
        <w:tblStyle w:val="Grigliatabella"/>
        <w:tblW w:w="0" w:type="auto"/>
        <w:tblInd w:w="567" w:type="dxa"/>
        <w:tblLook w:val="04A0" w:firstRow="1" w:lastRow="0" w:firstColumn="1" w:lastColumn="0" w:noHBand="0" w:noVBand="1"/>
      </w:tblPr>
      <w:tblGrid>
        <w:gridCol w:w="1812"/>
        <w:gridCol w:w="1812"/>
        <w:gridCol w:w="1812"/>
        <w:gridCol w:w="1812"/>
        <w:gridCol w:w="1813"/>
      </w:tblGrid>
      <w:tr w:rsidR="001516D0" w14:paraId="1873943F" w14:textId="77777777" w:rsidTr="001516D0">
        <w:tc>
          <w:tcPr>
            <w:tcW w:w="9061" w:type="dxa"/>
            <w:gridSpan w:val="5"/>
            <w:shd w:val="clear" w:color="auto" w:fill="8EAADB" w:themeFill="accent1" w:themeFillTint="99"/>
          </w:tcPr>
          <w:p w14:paraId="753F4CD6" w14:textId="6A55D38B" w:rsidR="001516D0" w:rsidRPr="001516D0" w:rsidRDefault="001516D0" w:rsidP="001516D0">
            <w:pPr>
              <w:ind w:left="0"/>
              <w:jc w:val="center"/>
              <w:rPr>
                <w:b/>
                <w:bCs/>
                <w:sz w:val="28"/>
                <w:szCs w:val="28"/>
              </w:rPr>
            </w:pPr>
            <w:r w:rsidRPr="001516D0">
              <w:rPr>
                <w:rFonts w:ascii="Calibri" w:eastAsia="Times New Roman" w:hAnsi="Calibri" w:cs="Calibri"/>
                <w:b/>
                <w:bCs/>
                <w:kern w:val="0"/>
                <w:sz w:val="28"/>
                <w:szCs w:val="28"/>
                <w:lang w:eastAsia="en-GB"/>
                <w14:ligatures w14:val="none"/>
              </w:rPr>
              <w:t>Bargaining power of suppliers</w:t>
            </w:r>
          </w:p>
        </w:tc>
      </w:tr>
      <w:tr w:rsidR="001516D0" w14:paraId="3149E963" w14:textId="77777777" w:rsidTr="00C62B32">
        <w:tc>
          <w:tcPr>
            <w:tcW w:w="9061" w:type="dxa"/>
            <w:gridSpan w:val="5"/>
          </w:tcPr>
          <w:p w14:paraId="250AFAF2" w14:textId="2213833D" w:rsidR="001516D0" w:rsidRPr="000D27D5" w:rsidRDefault="001516D0" w:rsidP="00C62B32">
            <w:pPr>
              <w:ind w:left="0"/>
              <w:jc w:val="center"/>
              <w:rPr>
                <w:u w:val="single"/>
              </w:rPr>
            </w:pPr>
            <w:r w:rsidRPr="001516D0">
              <w:rPr>
                <w:u w:val="single"/>
              </w:rPr>
              <w:t>Supplier Concentration</w:t>
            </w:r>
          </w:p>
        </w:tc>
      </w:tr>
      <w:tr w:rsidR="001516D0" w14:paraId="0C3974F8" w14:textId="77777777" w:rsidTr="00C62B32">
        <w:tc>
          <w:tcPr>
            <w:tcW w:w="1812" w:type="dxa"/>
          </w:tcPr>
          <w:p w14:paraId="7B8B3BC6" w14:textId="358C65E3" w:rsidR="001516D0" w:rsidRPr="00BA2A8E" w:rsidRDefault="001516D0" w:rsidP="00C62B32">
            <w:pPr>
              <w:ind w:left="0"/>
              <w:jc w:val="center"/>
              <w:rPr>
                <w:b/>
                <w:bCs/>
              </w:rPr>
            </w:pPr>
            <w:r>
              <w:rPr>
                <w:b/>
                <w:bCs/>
              </w:rPr>
              <w:t xml:space="preserve">Few organizations </w:t>
            </w:r>
          </w:p>
        </w:tc>
        <w:tc>
          <w:tcPr>
            <w:tcW w:w="1812" w:type="dxa"/>
          </w:tcPr>
          <w:p w14:paraId="27811FB4" w14:textId="77777777" w:rsidR="001516D0" w:rsidRPr="00BA2A8E" w:rsidRDefault="001516D0" w:rsidP="00C62B32">
            <w:pPr>
              <w:ind w:left="0"/>
              <w:jc w:val="center"/>
              <w:rPr>
                <w:b/>
                <w:bCs/>
              </w:rPr>
            </w:pPr>
          </w:p>
        </w:tc>
        <w:tc>
          <w:tcPr>
            <w:tcW w:w="1812" w:type="dxa"/>
          </w:tcPr>
          <w:p w14:paraId="1FAA1123" w14:textId="77777777" w:rsidR="001516D0" w:rsidRPr="00BA2A8E" w:rsidRDefault="001516D0" w:rsidP="00C62B32">
            <w:pPr>
              <w:ind w:left="0"/>
              <w:jc w:val="center"/>
              <w:rPr>
                <w:b/>
                <w:bCs/>
              </w:rPr>
            </w:pPr>
          </w:p>
        </w:tc>
        <w:tc>
          <w:tcPr>
            <w:tcW w:w="1812" w:type="dxa"/>
          </w:tcPr>
          <w:p w14:paraId="5A602FE6" w14:textId="77777777" w:rsidR="001516D0" w:rsidRPr="00BA2A8E" w:rsidRDefault="001516D0" w:rsidP="00C62B32">
            <w:pPr>
              <w:ind w:left="0"/>
              <w:jc w:val="center"/>
              <w:rPr>
                <w:b/>
                <w:bCs/>
              </w:rPr>
            </w:pPr>
          </w:p>
        </w:tc>
        <w:tc>
          <w:tcPr>
            <w:tcW w:w="1813" w:type="dxa"/>
          </w:tcPr>
          <w:p w14:paraId="371A6FA2" w14:textId="3E7EC290" w:rsidR="001516D0" w:rsidRPr="00BA2A8E" w:rsidRDefault="001516D0" w:rsidP="00C62B32">
            <w:pPr>
              <w:ind w:left="0"/>
              <w:jc w:val="center"/>
              <w:rPr>
                <w:b/>
                <w:bCs/>
              </w:rPr>
            </w:pPr>
            <w:r>
              <w:rPr>
                <w:b/>
                <w:bCs/>
              </w:rPr>
              <w:t>Many organizations</w:t>
            </w:r>
          </w:p>
        </w:tc>
      </w:tr>
      <w:tr w:rsidR="001516D0" w14:paraId="721617FC" w14:textId="77777777" w:rsidTr="00C62B32">
        <w:tc>
          <w:tcPr>
            <w:tcW w:w="9061" w:type="dxa"/>
            <w:gridSpan w:val="5"/>
          </w:tcPr>
          <w:p w14:paraId="1348FCC7" w14:textId="45B1D691" w:rsidR="001516D0" w:rsidRPr="00D65CA7" w:rsidRDefault="001909D7" w:rsidP="00C62B32">
            <w:pPr>
              <w:ind w:left="0"/>
              <w:jc w:val="center"/>
              <w:rPr>
                <w:u w:val="single"/>
              </w:rPr>
            </w:pPr>
            <w:r w:rsidRPr="001909D7">
              <w:rPr>
                <w:u w:val="single"/>
              </w:rPr>
              <w:t>Supplier Volume/Profit</w:t>
            </w:r>
          </w:p>
        </w:tc>
      </w:tr>
      <w:tr w:rsidR="001516D0" w14:paraId="641EF8AC" w14:textId="77777777" w:rsidTr="00C62B32">
        <w:tc>
          <w:tcPr>
            <w:tcW w:w="1812" w:type="dxa"/>
          </w:tcPr>
          <w:p w14:paraId="54A31981" w14:textId="5501F812" w:rsidR="001516D0" w:rsidRPr="00BA2A8E" w:rsidRDefault="001516D0" w:rsidP="00C62B32">
            <w:pPr>
              <w:ind w:left="0"/>
              <w:jc w:val="center"/>
              <w:rPr>
                <w:b/>
                <w:bCs/>
              </w:rPr>
            </w:pPr>
            <w:r w:rsidRPr="00BA2A8E">
              <w:rPr>
                <w:b/>
                <w:bCs/>
              </w:rPr>
              <w:t xml:space="preserve">Low </w:t>
            </w:r>
            <w:r w:rsidR="001909D7">
              <w:rPr>
                <w:b/>
                <w:bCs/>
              </w:rPr>
              <w:t xml:space="preserve">percentage </w:t>
            </w:r>
          </w:p>
        </w:tc>
        <w:tc>
          <w:tcPr>
            <w:tcW w:w="1812" w:type="dxa"/>
          </w:tcPr>
          <w:p w14:paraId="1016468E" w14:textId="77777777" w:rsidR="001516D0" w:rsidRPr="00BA2A8E" w:rsidRDefault="001516D0" w:rsidP="00C62B32">
            <w:pPr>
              <w:ind w:left="0"/>
              <w:jc w:val="center"/>
              <w:rPr>
                <w:b/>
                <w:bCs/>
              </w:rPr>
            </w:pPr>
          </w:p>
        </w:tc>
        <w:tc>
          <w:tcPr>
            <w:tcW w:w="1812" w:type="dxa"/>
          </w:tcPr>
          <w:p w14:paraId="419D5D26" w14:textId="77777777" w:rsidR="001516D0" w:rsidRPr="00BA2A8E" w:rsidRDefault="001516D0" w:rsidP="00C62B32">
            <w:pPr>
              <w:ind w:left="0"/>
              <w:jc w:val="center"/>
              <w:rPr>
                <w:b/>
                <w:bCs/>
              </w:rPr>
            </w:pPr>
          </w:p>
        </w:tc>
        <w:tc>
          <w:tcPr>
            <w:tcW w:w="1812" w:type="dxa"/>
          </w:tcPr>
          <w:p w14:paraId="4D0B510C" w14:textId="77777777" w:rsidR="001516D0" w:rsidRPr="00BA2A8E" w:rsidRDefault="001516D0" w:rsidP="00C62B32">
            <w:pPr>
              <w:ind w:left="0"/>
              <w:jc w:val="center"/>
              <w:rPr>
                <w:b/>
                <w:bCs/>
              </w:rPr>
            </w:pPr>
          </w:p>
        </w:tc>
        <w:tc>
          <w:tcPr>
            <w:tcW w:w="1813" w:type="dxa"/>
          </w:tcPr>
          <w:p w14:paraId="463115D2" w14:textId="5DB25093" w:rsidR="001516D0" w:rsidRPr="00BA2A8E" w:rsidRDefault="001516D0" w:rsidP="00C62B32">
            <w:pPr>
              <w:ind w:left="0"/>
              <w:jc w:val="center"/>
              <w:rPr>
                <w:b/>
                <w:bCs/>
              </w:rPr>
            </w:pPr>
            <w:r w:rsidRPr="00BA2A8E">
              <w:rPr>
                <w:b/>
                <w:bCs/>
              </w:rPr>
              <w:t xml:space="preserve">High </w:t>
            </w:r>
            <w:r w:rsidR="001909D7">
              <w:rPr>
                <w:b/>
                <w:bCs/>
              </w:rPr>
              <w:t>percentage</w:t>
            </w:r>
          </w:p>
        </w:tc>
      </w:tr>
      <w:tr w:rsidR="001516D0" w14:paraId="369A6AB2" w14:textId="77777777" w:rsidTr="00C62B32">
        <w:tc>
          <w:tcPr>
            <w:tcW w:w="9061" w:type="dxa"/>
            <w:gridSpan w:val="5"/>
          </w:tcPr>
          <w:p w14:paraId="1336C118" w14:textId="0EA30C32" w:rsidR="001516D0" w:rsidRPr="00BA2A8E" w:rsidRDefault="001909D7" w:rsidP="00C62B32">
            <w:pPr>
              <w:ind w:left="0"/>
              <w:jc w:val="center"/>
              <w:rPr>
                <w:b/>
                <w:bCs/>
                <w:sz w:val="28"/>
                <w:szCs w:val="28"/>
                <w:u w:val="single"/>
              </w:rPr>
            </w:pPr>
            <w:r w:rsidRPr="001909D7">
              <w:rPr>
                <w:u w:val="single"/>
              </w:rPr>
              <w:t xml:space="preserve">Supplier Forward Integration </w:t>
            </w:r>
          </w:p>
        </w:tc>
      </w:tr>
      <w:tr w:rsidR="001516D0" w14:paraId="12F8F138" w14:textId="77777777" w:rsidTr="00C62B32">
        <w:tc>
          <w:tcPr>
            <w:tcW w:w="1812" w:type="dxa"/>
          </w:tcPr>
          <w:p w14:paraId="5CFBF23F" w14:textId="1CE3F491" w:rsidR="001516D0" w:rsidRPr="00BA2A8E" w:rsidRDefault="001909D7" w:rsidP="00C62B32">
            <w:pPr>
              <w:ind w:left="0"/>
              <w:jc w:val="center"/>
              <w:rPr>
                <w:b/>
                <w:bCs/>
              </w:rPr>
            </w:pPr>
            <w:r w:rsidRPr="001909D7">
              <w:rPr>
                <w:b/>
                <w:bCs/>
              </w:rPr>
              <w:t>Not Feasible</w:t>
            </w:r>
          </w:p>
        </w:tc>
        <w:tc>
          <w:tcPr>
            <w:tcW w:w="1812" w:type="dxa"/>
          </w:tcPr>
          <w:p w14:paraId="488954F2" w14:textId="77777777" w:rsidR="001516D0" w:rsidRPr="00BA2A8E" w:rsidRDefault="001516D0" w:rsidP="00C62B32">
            <w:pPr>
              <w:ind w:left="0"/>
              <w:jc w:val="center"/>
              <w:rPr>
                <w:b/>
                <w:bCs/>
              </w:rPr>
            </w:pPr>
          </w:p>
        </w:tc>
        <w:tc>
          <w:tcPr>
            <w:tcW w:w="1812" w:type="dxa"/>
          </w:tcPr>
          <w:p w14:paraId="578C9DA2" w14:textId="77777777" w:rsidR="001516D0" w:rsidRPr="00BA2A8E" w:rsidRDefault="001516D0" w:rsidP="00C62B32">
            <w:pPr>
              <w:ind w:left="0"/>
              <w:jc w:val="center"/>
              <w:rPr>
                <w:b/>
                <w:bCs/>
              </w:rPr>
            </w:pPr>
          </w:p>
        </w:tc>
        <w:tc>
          <w:tcPr>
            <w:tcW w:w="1812" w:type="dxa"/>
          </w:tcPr>
          <w:p w14:paraId="488821E6" w14:textId="77777777" w:rsidR="001516D0" w:rsidRPr="00BA2A8E" w:rsidRDefault="001516D0" w:rsidP="00C62B32">
            <w:pPr>
              <w:ind w:left="0"/>
              <w:jc w:val="center"/>
              <w:rPr>
                <w:b/>
                <w:bCs/>
              </w:rPr>
            </w:pPr>
          </w:p>
        </w:tc>
        <w:tc>
          <w:tcPr>
            <w:tcW w:w="1813" w:type="dxa"/>
          </w:tcPr>
          <w:p w14:paraId="29894A6D" w14:textId="71118C4C" w:rsidR="001516D0" w:rsidRPr="00BA2A8E" w:rsidRDefault="001909D7" w:rsidP="00C62B32">
            <w:pPr>
              <w:ind w:left="0"/>
              <w:jc w:val="center"/>
              <w:rPr>
                <w:b/>
                <w:bCs/>
              </w:rPr>
            </w:pPr>
            <w:r w:rsidRPr="001909D7">
              <w:rPr>
                <w:b/>
                <w:bCs/>
              </w:rPr>
              <w:t>Credible Threat</w:t>
            </w:r>
          </w:p>
        </w:tc>
      </w:tr>
      <w:tr w:rsidR="001516D0" w14:paraId="158D10D4" w14:textId="77777777" w:rsidTr="00C62B32">
        <w:tc>
          <w:tcPr>
            <w:tcW w:w="9061" w:type="dxa"/>
            <w:gridSpan w:val="5"/>
          </w:tcPr>
          <w:p w14:paraId="734ABEF7" w14:textId="36816215" w:rsidR="001516D0" w:rsidRPr="003F223C" w:rsidRDefault="001909D7" w:rsidP="00C62B32">
            <w:pPr>
              <w:ind w:left="0"/>
              <w:jc w:val="center"/>
              <w:rPr>
                <w:b/>
                <w:bCs/>
                <w:sz w:val="28"/>
                <w:szCs w:val="28"/>
                <w:u w:val="single"/>
              </w:rPr>
            </w:pPr>
            <w:r w:rsidRPr="001909D7">
              <w:rPr>
                <w:u w:val="single"/>
              </w:rPr>
              <w:t xml:space="preserve">Supplier Products </w:t>
            </w:r>
          </w:p>
        </w:tc>
      </w:tr>
      <w:tr w:rsidR="001516D0" w14:paraId="7FB181C6" w14:textId="77777777" w:rsidTr="00C62B32">
        <w:tc>
          <w:tcPr>
            <w:tcW w:w="1812" w:type="dxa"/>
          </w:tcPr>
          <w:p w14:paraId="5FCB5BAC" w14:textId="12A08EC3" w:rsidR="001516D0" w:rsidRPr="003F223C" w:rsidRDefault="001909D7" w:rsidP="00C62B32">
            <w:pPr>
              <w:ind w:left="0"/>
              <w:jc w:val="center"/>
              <w:rPr>
                <w:b/>
                <w:bCs/>
              </w:rPr>
            </w:pPr>
            <w:r w:rsidRPr="001909D7">
              <w:rPr>
                <w:b/>
                <w:bCs/>
              </w:rPr>
              <w:t>Standardized</w:t>
            </w:r>
          </w:p>
        </w:tc>
        <w:tc>
          <w:tcPr>
            <w:tcW w:w="1812" w:type="dxa"/>
          </w:tcPr>
          <w:p w14:paraId="1788BA57" w14:textId="77777777" w:rsidR="001516D0" w:rsidRPr="003F223C" w:rsidRDefault="001516D0" w:rsidP="00C62B32">
            <w:pPr>
              <w:ind w:left="0"/>
              <w:jc w:val="center"/>
              <w:rPr>
                <w:b/>
                <w:bCs/>
              </w:rPr>
            </w:pPr>
          </w:p>
        </w:tc>
        <w:tc>
          <w:tcPr>
            <w:tcW w:w="1812" w:type="dxa"/>
          </w:tcPr>
          <w:p w14:paraId="736161CF" w14:textId="77777777" w:rsidR="001516D0" w:rsidRPr="003F223C" w:rsidRDefault="001516D0" w:rsidP="00C62B32">
            <w:pPr>
              <w:ind w:left="0"/>
              <w:jc w:val="center"/>
              <w:rPr>
                <w:b/>
                <w:bCs/>
              </w:rPr>
            </w:pPr>
          </w:p>
        </w:tc>
        <w:tc>
          <w:tcPr>
            <w:tcW w:w="1812" w:type="dxa"/>
          </w:tcPr>
          <w:p w14:paraId="79F249F7" w14:textId="77777777" w:rsidR="001516D0" w:rsidRPr="003F223C" w:rsidRDefault="001516D0" w:rsidP="00C62B32">
            <w:pPr>
              <w:ind w:left="0"/>
              <w:jc w:val="center"/>
              <w:rPr>
                <w:b/>
                <w:bCs/>
              </w:rPr>
            </w:pPr>
          </w:p>
        </w:tc>
        <w:tc>
          <w:tcPr>
            <w:tcW w:w="1813" w:type="dxa"/>
          </w:tcPr>
          <w:p w14:paraId="5F0C8E07" w14:textId="71B11869" w:rsidR="001516D0" w:rsidRPr="001909D7" w:rsidRDefault="001909D7" w:rsidP="00C62B32">
            <w:pPr>
              <w:ind w:left="0"/>
              <w:jc w:val="center"/>
              <w:rPr>
                <w:b/>
                <w:bCs/>
              </w:rPr>
            </w:pPr>
            <w:r w:rsidRPr="001909D7">
              <w:rPr>
                <w:b/>
                <w:bCs/>
              </w:rPr>
              <w:t>Highly Differentiated</w:t>
            </w:r>
          </w:p>
        </w:tc>
      </w:tr>
      <w:tr w:rsidR="001516D0" w14:paraId="5BEF5818" w14:textId="77777777" w:rsidTr="00C62B32">
        <w:tc>
          <w:tcPr>
            <w:tcW w:w="9061" w:type="dxa"/>
            <w:gridSpan w:val="5"/>
          </w:tcPr>
          <w:p w14:paraId="57CC83F6" w14:textId="198CF2C1" w:rsidR="001516D0" w:rsidRPr="001909D7" w:rsidRDefault="001909D7" w:rsidP="00C62B32">
            <w:pPr>
              <w:ind w:left="0"/>
              <w:jc w:val="center"/>
              <w:rPr>
                <w:b/>
                <w:bCs/>
                <w:sz w:val="28"/>
                <w:szCs w:val="28"/>
                <w:u w:val="single"/>
              </w:rPr>
            </w:pPr>
            <w:r w:rsidRPr="001909D7">
              <w:rPr>
                <w:u w:val="single"/>
              </w:rPr>
              <w:t xml:space="preserve">Industry Switching Costs </w:t>
            </w:r>
          </w:p>
        </w:tc>
      </w:tr>
      <w:tr w:rsidR="001516D0" w14:paraId="69F8CFCF" w14:textId="77777777" w:rsidTr="00C62B32">
        <w:tc>
          <w:tcPr>
            <w:tcW w:w="1812" w:type="dxa"/>
          </w:tcPr>
          <w:p w14:paraId="081387DC" w14:textId="77777777" w:rsidR="001516D0" w:rsidRPr="003F223C" w:rsidRDefault="001516D0" w:rsidP="00C62B32">
            <w:pPr>
              <w:ind w:left="0"/>
              <w:jc w:val="center"/>
              <w:rPr>
                <w:b/>
                <w:bCs/>
              </w:rPr>
            </w:pPr>
            <w:r w:rsidRPr="003F223C">
              <w:rPr>
                <w:b/>
                <w:bCs/>
              </w:rPr>
              <w:t>Low</w:t>
            </w:r>
          </w:p>
        </w:tc>
        <w:tc>
          <w:tcPr>
            <w:tcW w:w="1812" w:type="dxa"/>
          </w:tcPr>
          <w:p w14:paraId="704FAF0D" w14:textId="77777777" w:rsidR="001516D0" w:rsidRPr="003F223C" w:rsidRDefault="001516D0" w:rsidP="00C62B32">
            <w:pPr>
              <w:ind w:left="0"/>
              <w:jc w:val="center"/>
              <w:rPr>
                <w:b/>
                <w:bCs/>
              </w:rPr>
            </w:pPr>
          </w:p>
        </w:tc>
        <w:tc>
          <w:tcPr>
            <w:tcW w:w="1812" w:type="dxa"/>
          </w:tcPr>
          <w:p w14:paraId="3BFB8567" w14:textId="77777777" w:rsidR="001516D0" w:rsidRPr="003F223C" w:rsidRDefault="001516D0" w:rsidP="00C62B32">
            <w:pPr>
              <w:ind w:left="0"/>
              <w:jc w:val="center"/>
              <w:rPr>
                <w:b/>
                <w:bCs/>
              </w:rPr>
            </w:pPr>
          </w:p>
        </w:tc>
        <w:tc>
          <w:tcPr>
            <w:tcW w:w="1812" w:type="dxa"/>
          </w:tcPr>
          <w:p w14:paraId="3B3987AD" w14:textId="77777777" w:rsidR="001516D0" w:rsidRPr="003F223C" w:rsidRDefault="001516D0" w:rsidP="00C62B32">
            <w:pPr>
              <w:ind w:left="0"/>
              <w:jc w:val="center"/>
              <w:rPr>
                <w:b/>
                <w:bCs/>
              </w:rPr>
            </w:pPr>
          </w:p>
        </w:tc>
        <w:tc>
          <w:tcPr>
            <w:tcW w:w="1813" w:type="dxa"/>
          </w:tcPr>
          <w:p w14:paraId="2916C7B9" w14:textId="77777777" w:rsidR="001516D0" w:rsidRPr="003F223C" w:rsidRDefault="001516D0" w:rsidP="00C62B32">
            <w:pPr>
              <w:ind w:left="0"/>
              <w:jc w:val="center"/>
              <w:rPr>
                <w:b/>
                <w:bCs/>
              </w:rPr>
            </w:pPr>
            <w:r w:rsidRPr="003F223C">
              <w:rPr>
                <w:b/>
                <w:bCs/>
              </w:rPr>
              <w:t>High</w:t>
            </w:r>
          </w:p>
        </w:tc>
      </w:tr>
      <w:tr w:rsidR="001516D0" w14:paraId="54DB2912" w14:textId="77777777" w:rsidTr="00C62B32">
        <w:tc>
          <w:tcPr>
            <w:tcW w:w="9061" w:type="dxa"/>
            <w:gridSpan w:val="5"/>
          </w:tcPr>
          <w:p w14:paraId="09491C9B" w14:textId="5851A14B" w:rsidR="001516D0" w:rsidRPr="001909D7" w:rsidRDefault="001909D7" w:rsidP="00C62B32">
            <w:pPr>
              <w:ind w:left="0"/>
              <w:jc w:val="center"/>
              <w:rPr>
                <w:b/>
                <w:bCs/>
                <w:sz w:val="28"/>
                <w:szCs w:val="28"/>
                <w:u w:val="single"/>
              </w:rPr>
            </w:pPr>
            <w:r w:rsidRPr="001909D7">
              <w:rPr>
                <w:u w:val="single"/>
              </w:rPr>
              <w:t>Supplier Substitutes</w:t>
            </w:r>
          </w:p>
        </w:tc>
      </w:tr>
      <w:tr w:rsidR="001516D0" w14:paraId="236E4C97" w14:textId="77777777" w:rsidTr="00C62B32">
        <w:tc>
          <w:tcPr>
            <w:tcW w:w="1812" w:type="dxa"/>
          </w:tcPr>
          <w:p w14:paraId="76C36B4E" w14:textId="0B87696E" w:rsidR="001516D0" w:rsidRDefault="001909D7" w:rsidP="00C62B32">
            <w:pPr>
              <w:ind w:left="0"/>
              <w:jc w:val="center"/>
              <w:rPr>
                <w:b/>
                <w:bCs/>
                <w:sz w:val="28"/>
                <w:szCs w:val="28"/>
              </w:rPr>
            </w:pPr>
            <w:r w:rsidRPr="001909D7">
              <w:rPr>
                <w:b/>
                <w:bCs/>
              </w:rPr>
              <w:t>No Viable Options</w:t>
            </w:r>
          </w:p>
        </w:tc>
        <w:tc>
          <w:tcPr>
            <w:tcW w:w="1812" w:type="dxa"/>
          </w:tcPr>
          <w:p w14:paraId="41F89263" w14:textId="77777777" w:rsidR="001516D0" w:rsidRDefault="001516D0" w:rsidP="00C62B32">
            <w:pPr>
              <w:ind w:left="0"/>
              <w:jc w:val="center"/>
              <w:rPr>
                <w:b/>
                <w:bCs/>
                <w:sz w:val="28"/>
                <w:szCs w:val="28"/>
              </w:rPr>
            </w:pPr>
          </w:p>
        </w:tc>
        <w:tc>
          <w:tcPr>
            <w:tcW w:w="1812" w:type="dxa"/>
          </w:tcPr>
          <w:p w14:paraId="7814ADF6" w14:textId="77777777" w:rsidR="001516D0" w:rsidRDefault="001516D0" w:rsidP="00C62B32">
            <w:pPr>
              <w:ind w:left="0"/>
              <w:jc w:val="center"/>
              <w:rPr>
                <w:b/>
                <w:bCs/>
                <w:sz w:val="28"/>
                <w:szCs w:val="28"/>
              </w:rPr>
            </w:pPr>
          </w:p>
        </w:tc>
        <w:tc>
          <w:tcPr>
            <w:tcW w:w="1812" w:type="dxa"/>
          </w:tcPr>
          <w:p w14:paraId="4C62B9F1" w14:textId="77777777" w:rsidR="001516D0" w:rsidRDefault="001516D0" w:rsidP="00C62B32">
            <w:pPr>
              <w:ind w:left="0"/>
              <w:jc w:val="center"/>
              <w:rPr>
                <w:b/>
                <w:bCs/>
                <w:sz w:val="28"/>
                <w:szCs w:val="28"/>
              </w:rPr>
            </w:pPr>
          </w:p>
        </w:tc>
        <w:tc>
          <w:tcPr>
            <w:tcW w:w="1813" w:type="dxa"/>
          </w:tcPr>
          <w:p w14:paraId="02842AE5" w14:textId="6364F9B9" w:rsidR="001516D0" w:rsidRDefault="001909D7" w:rsidP="00C62B32">
            <w:pPr>
              <w:ind w:left="0"/>
              <w:jc w:val="center"/>
              <w:rPr>
                <w:b/>
                <w:bCs/>
                <w:sz w:val="28"/>
                <w:szCs w:val="28"/>
              </w:rPr>
            </w:pPr>
            <w:r w:rsidRPr="001909D7">
              <w:rPr>
                <w:b/>
                <w:bCs/>
              </w:rPr>
              <w:t>Many Viable Options</w:t>
            </w:r>
          </w:p>
        </w:tc>
      </w:tr>
    </w:tbl>
    <w:p w14:paraId="154CDA77" w14:textId="48E51C52" w:rsidR="001516D0" w:rsidRPr="00C930E1" w:rsidRDefault="000019CB">
      <w:pPr>
        <w:spacing w:after="160" w:line="259" w:lineRule="auto"/>
        <w:ind w:left="0"/>
        <w:jc w:val="left"/>
        <w:rPr>
          <w:b/>
          <w:bCs/>
          <w:sz w:val="16"/>
          <w:szCs w:val="16"/>
        </w:rPr>
      </w:pPr>
      <w:r>
        <w:rPr>
          <w:b/>
          <w:bCs/>
          <w:noProof/>
          <w:sz w:val="28"/>
          <w:szCs w:val="28"/>
        </w:rPr>
        <w:drawing>
          <wp:anchor distT="0" distB="0" distL="114300" distR="114300" simplePos="0" relativeHeight="251659264" behindDoc="0" locked="0" layoutInCell="1" allowOverlap="1" wp14:anchorId="2734E9A5" wp14:editId="5F923211">
            <wp:simplePos x="0" y="0"/>
            <wp:positionH relativeFrom="column">
              <wp:posOffset>51435</wp:posOffset>
            </wp:positionH>
            <wp:positionV relativeFrom="paragraph">
              <wp:posOffset>348615</wp:posOffset>
            </wp:positionV>
            <wp:extent cx="6353175" cy="3867150"/>
            <wp:effectExtent l="0" t="0" r="9525" b="0"/>
            <wp:wrapSquare wrapText="bothSides"/>
            <wp:docPr id="29804132" name="Gra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sidR="00C930E1" w:rsidRPr="00C930E1">
        <w:rPr>
          <w:b/>
          <w:bCs/>
          <w:sz w:val="16"/>
          <w:szCs w:val="16"/>
        </w:rPr>
        <w:t xml:space="preserve">PS: the spider diagrams are formatted from 1 to 5, with 1 representing the lower end of the spectrum and 5 representing the highest one. </w:t>
      </w:r>
    </w:p>
    <w:p w14:paraId="66CAA2C6" w14:textId="1E1C90A0" w:rsidR="001516D0" w:rsidRDefault="001516D0">
      <w:pPr>
        <w:spacing w:after="160" w:line="259" w:lineRule="auto"/>
        <w:ind w:left="0"/>
        <w:jc w:val="left"/>
        <w:rPr>
          <w:b/>
          <w:bCs/>
          <w:sz w:val="28"/>
          <w:szCs w:val="28"/>
        </w:rPr>
      </w:pPr>
    </w:p>
    <w:p w14:paraId="0841E3A3" w14:textId="1FCC4E36" w:rsidR="00CC4595" w:rsidRDefault="00CC4595">
      <w:pPr>
        <w:spacing w:after="160" w:line="259" w:lineRule="auto"/>
        <w:ind w:left="0"/>
        <w:jc w:val="left"/>
        <w:rPr>
          <w:b/>
          <w:bCs/>
          <w:sz w:val="28"/>
          <w:szCs w:val="28"/>
        </w:rPr>
      </w:pPr>
    </w:p>
    <w:p w14:paraId="4C84DAD7" w14:textId="38F044D9" w:rsidR="00CC4595" w:rsidRDefault="00CC4595">
      <w:pPr>
        <w:spacing w:after="160" w:line="259" w:lineRule="auto"/>
        <w:ind w:left="0"/>
        <w:jc w:val="left"/>
        <w:rPr>
          <w:b/>
          <w:bCs/>
          <w:sz w:val="28"/>
          <w:szCs w:val="28"/>
        </w:rPr>
      </w:pPr>
    </w:p>
    <w:tbl>
      <w:tblPr>
        <w:tblStyle w:val="Grigliatabella"/>
        <w:tblW w:w="0" w:type="auto"/>
        <w:tblInd w:w="567" w:type="dxa"/>
        <w:tblLook w:val="04A0" w:firstRow="1" w:lastRow="0" w:firstColumn="1" w:lastColumn="0" w:noHBand="0" w:noVBand="1"/>
      </w:tblPr>
      <w:tblGrid>
        <w:gridCol w:w="1812"/>
        <w:gridCol w:w="1812"/>
        <w:gridCol w:w="1812"/>
        <w:gridCol w:w="1812"/>
        <w:gridCol w:w="1813"/>
      </w:tblGrid>
      <w:tr w:rsidR="00F91F6B" w14:paraId="20CE44D1" w14:textId="77777777" w:rsidTr="00F91F6B">
        <w:tc>
          <w:tcPr>
            <w:tcW w:w="9061" w:type="dxa"/>
            <w:gridSpan w:val="5"/>
            <w:shd w:val="clear" w:color="auto" w:fill="AEAAAA" w:themeFill="background2" w:themeFillShade="BF"/>
          </w:tcPr>
          <w:p w14:paraId="0554C9CC" w14:textId="31EB62E1" w:rsidR="00F91F6B" w:rsidRPr="001516D0" w:rsidRDefault="00F91F6B" w:rsidP="00C62B32">
            <w:pPr>
              <w:ind w:left="0"/>
              <w:jc w:val="center"/>
              <w:rPr>
                <w:b/>
                <w:bCs/>
                <w:sz w:val="28"/>
                <w:szCs w:val="28"/>
              </w:rPr>
            </w:pPr>
            <w:r w:rsidRPr="00F91F6B">
              <w:rPr>
                <w:rFonts w:ascii="Calibri" w:eastAsia="Times New Roman" w:hAnsi="Calibri" w:cs="Calibri"/>
                <w:b/>
                <w:bCs/>
                <w:kern w:val="0"/>
                <w:sz w:val="28"/>
                <w:szCs w:val="28"/>
                <w:lang w:eastAsia="en-GB"/>
                <w14:ligatures w14:val="none"/>
              </w:rPr>
              <w:t>Bargaining power of buyers</w:t>
            </w:r>
          </w:p>
        </w:tc>
      </w:tr>
      <w:tr w:rsidR="00F91F6B" w14:paraId="4D9A0111" w14:textId="77777777" w:rsidTr="00C62B32">
        <w:tc>
          <w:tcPr>
            <w:tcW w:w="9061" w:type="dxa"/>
            <w:gridSpan w:val="5"/>
          </w:tcPr>
          <w:p w14:paraId="2432D820" w14:textId="1F4BACE7" w:rsidR="00F91F6B" w:rsidRPr="00F91F6B" w:rsidRDefault="00F91F6B" w:rsidP="00C62B32">
            <w:pPr>
              <w:ind w:left="0"/>
              <w:jc w:val="center"/>
              <w:rPr>
                <w:highlight w:val="yellow"/>
                <w:u w:val="single"/>
              </w:rPr>
            </w:pPr>
            <w:r w:rsidRPr="00F91F6B">
              <w:rPr>
                <w:u w:val="single"/>
              </w:rPr>
              <w:t xml:space="preserve">Buyer Orders </w:t>
            </w:r>
          </w:p>
        </w:tc>
      </w:tr>
      <w:tr w:rsidR="00F91F6B" w14:paraId="62EB1E53" w14:textId="77777777" w:rsidTr="00C62B32">
        <w:tc>
          <w:tcPr>
            <w:tcW w:w="1812" w:type="dxa"/>
          </w:tcPr>
          <w:p w14:paraId="2827C0EB" w14:textId="315F801C" w:rsidR="00F91F6B" w:rsidRPr="00F91F6B" w:rsidRDefault="00F91F6B" w:rsidP="00C62B32">
            <w:pPr>
              <w:ind w:left="0"/>
              <w:jc w:val="center"/>
              <w:rPr>
                <w:b/>
                <w:bCs/>
                <w:highlight w:val="yellow"/>
              </w:rPr>
            </w:pPr>
            <w:r w:rsidRPr="00F91F6B">
              <w:rPr>
                <w:b/>
                <w:bCs/>
              </w:rPr>
              <w:t>Single/Few</w:t>
            </w:r>
          </w:p>
        </w:tc>
        <w:tc>
          <w:tcPr>
            <w:tcW w:w="1812" w:type="dxa"/>
          </w:tcPr>
          <w:p w14:paraId="1820C5C0" w14:textId="77777777" w:rsidR="00F91F6B" w:rsidRPr="00F91F6B" w:rsidRDefault="00F91F6B" w:rsidP="00C62B32">
            <w:pPr>
              <w:ind w:left="0"/>
              <w:jc w:val="center"/>
              <w:rPr>
                <w:b/>
                <w:bCs/>
                <w:highlight w:val="yellow"/>
              </w:rPr>
            </w:pPr>
          </w:p>
        </w:tc>
        <w:tc>
          <w:tcPr>
            <w:tcW w:w="1812" w:type="dxa"/>
          </w:tcPr>
          <w:p w14:paraId="3C4F0A14" w14:textId="77777777" w:rsidR="00F91F6B" w:rsidRPr="00F91F6B" w:rsidRDefault="00F91F6B" w:rsidP="00C62B32">
            <w:pPr>
              <w:ind w:left="0"/>
              <w:jc w:val="center"/>
              <w:rPr>
                <w:b/>
                <w:bCs/>
                <w:highlight w:val="yellow"/>
              </w:rPr>
            </w:pPr>
          </w:p>
        </w:tc>
        <w:tc>
          <w:tcPr>
            <w:tcW w:w="1812" w:type="dxa"/>
          </w:tcPr>
          <w:p w14:paraId="3F426500" w14:textId="77777777" w:rsidR="00F91F6B" w:rsidRPr="00F91F6B" w:rsidRDefault="00F91F6B" w:rsidP="00C62B32">
            <w:pPr>
              <w:ind w:left="0"/>
              <w:jc w:val="center"/>
              <w:rPr>
                <w:b/>
                <w:bCs/>
                <w:highlight w:val="yellow"/>
              </w:rPr>
            </w:pPr>
          </w:p>
        </w:tc>
        <w:tc>
          <w:tcPr>
            <w:tcW w:w="1813" w:type="dxa"/>
          </w:tcPr>
          <w:p w14:paraId="712992A1" w14:textId="541BB024" w:rsidR="00F91F6B" w:rsidRPr="00F91F6B" w:rsidRDefault="00F91F6B" w:rsidP="00C62B32">
            <w:pPr>
              <w:ind w:left="0"/>
              <w:jc w:val="center"/>
              <w:rPr>
                <w:b/>
                <w:bCs/>
                <w:highlight w:val="yellow"/>
              </w:rPr>
            </w:pPr>
            <w:r w:rsidRPr="00F91F6B">
              <w:rPr>
                <w:b/>
                <w:bCs/>
              </w:rPr>
              <w:t>Large Volumes</w:t>
            </w:r>
          </w:p>
        </w:tc>
      </w:tr>
      <w:tr w:rsidR="00F91F6B" w14:paraId="5AB03EA1" w14:textId="77777777" w:rsidTr="00C62B32">
        <w:tc>
          <w:tcPr>
            <w:tcW w:w="9061" w:type="dxa"/>
            <w:gridSpan w:val="5"/>
          </w:tcPr>
          <w:p w14:paraId="70F74F75" w14:textId="225A1171" w:rsidR="00F91F6B" w:rsidRPr="00F91F6B" w:rsidRDefault="00F91F6B" w:rsidP="00C62B32">
            <w:pPr>
              <w:ind w:left="0"/>
              <w:jc w:val="center"/>
              <w:rPr>
                <w:highlight w:val="yellow"/>
                <w:u w:val="single"/>
              </w:rPr>
            </w:pPr>
            <w:r w:rsidRPr="00F91F6B">
              <w:rPr>
                <w:u w:val="single"/>
              </w:rPr>
              <w:t xml:space="preserve">Buyer Information </w:t>
            </w:r>
          </w:p>
        </w:tc>
      </w:tr>
      <w:tr w:rsidR="00F91F6B" w14:paraId="498AB8C2" w14:textId="77777777" w:rsidTr="00C62B32">
        <w:tc>
          <w:tcPr>
            <w:tcW w:w="1812" w:type="dxa"/>
          </w:tcPr>
          <w:p w14:paraId="365F7B88" w14:textId="18C32625" w:rsidR="00F91F6B" w:rsidRPr="00F91F6B" w:rsidRDefault="00F91F6B" w:rsidP="00C62B32">
            <w:pPr>
              <w:ind w:left="0"/>
              <w:jc w:val="center"/>
              <w:rPr>
                <w:b/>
                <w:bCs/>
                <w:highlight w:val="yellow"/>
              </w:rPr>
            </w:pPr>
            <w:r w:rsidRPr="00F91F6B">
              <w:rPr>
                <w:b/>
                <w:bCs/>
              </w:rPr>
              <w:t>Low</w:t>
            </w:r>
          </w:p>
        </w:tc>
        <w:tc>
          <w:tcPr>
            <w:tcW w:w="1812" w:type="dxa"/>
          </w:tcPr>
          <w:p w14:paraId="0812F078" w14:textId="77777777" w:rsidR="00F91F6B" w:rsidRPr="00F91F6B" w:rsidRDefault="00F91F6B" w:rsidP="00C62B32">
            <w:pPr>
              <w:ind w:left="0"/>
              <w:jc w:val="center"/>
              <w:rPr>
                <w:b/>
                <w:bCs/>
                <w:highlight w:val="yellow"/>
              </w:rPr>
            </w:pPr>
          </w:p>
        </w:tc>
        <w:tc>
          <w:tcPr>
            <w:tcW w:w="1812" w:type="dxa"/>
          </w:tcPr>
          <w:p w14:paraId="599FD9D3" w14:textId="77777777" w:rsidR="00F91F6B" w:rsidRPr="00F91F6B" w:rsidRDefault="00F91F6B" w:rsidP="00C62B32">
            <w:pPr>
              <w:ind w:left="0"/>
              <w:jc w:val="center"/>
              <w:rPr>
                <w:b/>
                <w:bCs/>
                <w:highlight w:val="yellow"/>
              </w:rPr>
            </w:pPr>
          </w:p>
        </w:tc>
        <w:tc>
          <w:tcPr>
            <w:tcW w:w="1812" w:type="dxa"/>
          </w:tcPr>
          <w:p w14:paraId="64745043" w14:textId="77777777" w:rsidR="00F91F6B" w:rsidRPr="00F91F6B" w:rsidRDefault="00F91F6B" w:rsidP="00C62B32">
            <w:pPr>
              <w:ind w:left="0"/>
              <w:jc w:val="center"/>
              <w:rPr>
                <w:b/>
                <w:bCs/>
                <w:highlight w:val="yellow"/>
              </w:rPr>
            </w:pPr>
          </w:p>
        </w:tc>
        <w:tc>
          <w:tcPr>
            <w:tcW w:w="1813" w:type="dxa"/>
          </w:tcPr>
          <w:p w14:paraId="5D3807A9" w14:textId="43313AA8" w:rsidR="00F91F6B" w:rsidRPr="00F91F6B" w:rsidRDefault="00F91F6B" w:rsidP="00C62B32">
            <w:pPr>
              <w:ind w:left="0"/>
              <w:jc w:val="center"/>
              <w:rPr>
                <w:b/>
                <w:bCs/>
                <w:highlight w:val="yellow"/>
              </w:rPr>
            </w:pPr>
            <w:r w:rsidRPr="00F91F6B">
              <w:rPr>
                <w:b/>
                <w:bCs/>
              </w:rPr>
              <w:t>High</w:t>
            </w:r>
          </w:p>
        </w:tc>
      </w:tr>
      <w:tr w:rsidR="00F91F6B" w14:paraId="22746538" w14:textId="77777777" w:rsidTr="00C62B32">
        <w:tc>
          <w:tcPr>
            <w:tcW w:w="9061" w:type="dxa"/>
            <w:gridSpan w:val="5"/>
          </w:tcPr>
          <w:p w14:paraId="69DEC690" w14:textId="7B181D40" w:rsidR="00F91F6B" w:rsidRPr="00F91F6B" w:rsidRDefault="00F91F6B" w:rsidP="00C62B32">
            <w:pPr>
              <w:ind w:left="0"/>
              <w:jc w:val="center"/>
              <w:rPr>
                <w:b/>
                <w:bCs/>
                <w:sz w:val="28"/>
                <w:szCs w:val="28"/>
                <w:highlight w:val="yellow"/>
                <w:u w:val="single"/>
              </w:rPr>
            </w:pPr>
            <w:r w:rsidRPr="00F91F6B">
              <w:rPr>
                <w:u w:val="single"/>
              </w:rPr>
              <w:t>Buyer Backward Integration</w:t>
            </w:r>
          </w:p>
        </w:tc>
      </w:tr>
      <w:tr w:rsidR="00F91F6B" w14:paraId="2367F4A3" w14:textId="77777777" w:rsidTr="00C62B32">
        <w:tc>
          <w:tcPr>
            <w:tcW w:w="1812" w:type="dxa"/>
          </w:tcPr>
          <w:p w14:paraId="665BE630" w14:textId="772F5173" w:rsidR="00F91F6B" w:rsidRPr="00F91F6B" w:rsidRDefault="00F91F6B" w:rsidP="00C62B32">
            <w:pPr>
              <w:ind w:left="0"/>
              <w:jc w:val="center"/>
              <w:rPr>
                <w:b/>
                <w:bCs/>
                <w:highlight w:val="yellow"/>
              </w:rPr>
            </w:pPr>
            <w:r w:rsidRPr="00F91F6B">
              <w:rPr>
                <w:b/>
                <w:bCs/>
              </w:rPr>
              <w:t>Not Feasible</w:t>
            </w:r>
          </w:p>
        </w:tc>
        <w:tc>
          <w:tcPr>
            <w:tcW w:w="1812" w:type="dxa"/>
          </w:tcPr>
          <w:p w14:paraId="6E9ABF43" w14:textId="77777777" w:rsidR="00F91F6B" w:rsidRPr="00F91F6B" w:rsidRDefault="00F91F6B" w:rsidP="00C62B32">
            <w:pPr>
              <w:ind w:left="0"/>
              <w:jc w:val="center"/>
              <w:rPr>
                <w:b/>
                <w:bCs/>
                <w:highlight w:val="yellow"/>
              </w:rPr>
            </w:pPr>
          </w:p>
        </w:tc>
        <w:tc>
          <w:tcPr>
            <w:tcW w:w="1812" w:type="dxa"/>
          </w:tcPr>
          <w:p w14:paraId="41A868E6" w14:textId="77777777" w:rsidR="00F91F6B" w:rsidRPr="00F91F6B" w:rsidRDefault="00F91F6B" w:rsidP="00C62B32">
            <w:pPr>
              <w:ind w:left="0"/>
              <w:jc w:val="center"/>
              <w:rPr>
                <w:b/>
                <w:bCs/>
                <w:highlight w:val="yellow"/>
              </w:rPr>
            </w:pPr>
          </w:p>
        </w:tc>
        <w:tc>
          <w:tcPr>
            <w:tcW w:w="1812" w:type="dxa"/>
          </w:tcPr>
          <w:p w14:paraId="74CD0742" w14:textId="77777777" w:rsidR="00F91F6B" w:rsidRPr="00F91F6B" w:rsidRDefault="00F91F6B" w:rsidP="00C62B32">
            <w:pPr>
              <w:ind w:left="0"/>
              <w:jc w:val="center"/>
              <w:rPr>
                <w:b/>
                <w:bCs/>
                <w:highlight w:val="yellow"/>
              </w:rPr>
            </w:pPr>
          </w:p>
        </w:tc>
        <w:tc>
          <w:tcPr>
            <w:tcW w:w="1813" w:type="dxa"/>
          </w:tcPr>
          <w:p w14:paraId="789C68A8" w14:textId="77777777" w:rsidR="00F91F6B" w:rsidRPr="00F91F6B" w:rsidRDefault="00F91F6B" w:rsidP="00C62B32">
            <w:pPr>
              <w:ind w:left="0"/>
              <w:jc w:val="center"/>
              <w:rPr>
                <w:b/>
                <w:bCs/>
              </w:rPr>
            </w:pPr>
            <w:r w:rsidRPr="00F91F6B">
              <w:rPr>
                <w:b/>
                <w:bCs/>
              </w:rPr>
              <w:t>Credible Threat</w:t>
            </w:r>
          </w:p>
        </w:tc>
      </w:tr>
      <w:tr w:rsidR="00F91F6B" w14:paraId="1414F5BB" w14:textId="77777777" w:rsidTr="00C62B32">
        <w:tc>
          <w:tcPr>
            <w:tcW w:w="9061" w:type="dxa"/>
            <w:gridSpan w:val="5"/>
          </w:tcPr>
          <w:p w14:paraId="6620D194" w14:textId="280D2266" w:rsidR="00F91F6B" w:rsidRPr="00F91F6B" w:rsidRDefault="00F91F6B" w:rsidP="00C62B32">
            <w:pPr>
              <w:ind w:left="0"/>
              <w:jc w:val="center"/>
              <w:rPr>
                <w:b/>
                <w:bCs/>
                <w:sz w:val="28"/>
                <w:szCs w:val="28"/>
                <w:highlight w:val="yellow"/>
                <w:u w:val="single"/>
              </w:rPr>
            </w:pPr>
            <w:r w:rsidRPr="00F91F6B">
              <w:rPr>
                <w:u w:val="single"/>
              </w:rPr>
              <w:t>Industry Products</w:t>
            </w:r>
          </w:p>
        </w:tc>
      </w:tr>
      <w:tr w:rsidR="00F91F6B" w14:paraId="35CC1A22" w14:textId="77777777" w:rsidTr="00C62B32">
        <w:tc>
          <w:tcPr>
            <w:tcW w:w="1812" w:type="dxa"/>
          </w:tcPr>
          <w:p w14:paraId="0323CE0B" w14:textId="77777777" w:rsidR="00F91F6B" w:rsidRPr="00F91F6B" w:rsidRDefault="00F91F6B" w:rsidP="00C62B32">
            <w:pPr>
              <w:ind w:left="0"/>
              <w:jc w:val="center"/>
              <w:rPr>
                <w:b/>
                <w:bCs/>
              </w:rPr>
            </w:pPr>
            <w:r w:rsidRPr="00F91F6B">
              <w:rPr>
                <w:b/>
                <w:bCs/>
              </w:rPr>
              <w:t>Standardized</w:t>
            </w:r>
          </w:p>
        </w:tc>
        <w:tc>
          <w:tcPr>
            <w:tcW w:w="1812" w:type="dxa"/>
          </w:tcPr>
          <w:p w14:paraId="0FA43DF0" w14:textId="77777777" w:rsidR="00F91F6B" w:rsidRPr="00F91F6B" w:rsidRDefault="00F91F6B" w:rsidP="00C62B32">
            <w:pPr>
              <w:ind w:left="0"/>
              <w:jc w:val="center"/>
              <w:rPr>
                <w:b/>
                <w:bCs/>
                <w:highlight w:val="yellow"/>
              </w:rPr>
            </w:pPr>
          </w:p>
        </w:tc>
        <w:tc>
          <w:tcPr>
            <w:tcW w:w="1812" w:type="dxa"/>
          </w:tcPr>
          <w:p w14:paraId="2AE8CDAC" w14:textId="77777777" w:rsidR="00F91F6B" w:rsidRPr="00F91F6B" w:rsidRDefault="00F91F6B" w:rsidP="00C62B32">
            <w:pPr>
              <w:ind w:left="0"/>
              <w:jc w:val="center"/>
              <w:rPr>
                <w:b/>
                <w:bCs/>
                <w:highlight w:val="yellow"/>
              </w:rPr>
            </w:pPr>
          </w:p>
        </w:tc>
        <w:tc>
          <w:tcPr>
            <w:tcW w:w="1812" w:type="dxa"/>
          </w:tcPr>
          <w:p w14:paraId="402713C7" w14:textId="77777777" w:rsidR="00F91F6B" w:rsidRPr="00F91F6B" w:rsidRDefault="00F91F6B" w:rsidP="00C62B32">
            <w:pPr>
              <w:ind w:left="0"/>
              <w:jc w:val="center"/>
              <w:rPr>
                <w:b/>
                <w:bCs/>
                <w:highlight w:val="yellow"/>
              </w:rPr>
            </w:pPr>
          </w:p>
        </w:tc>
        <w:tc>
          <w:tcPr>
            <w:tcW w:w="1813" w:type="dxa"/>
          </w:tcPr>
          <w:p w14:paraId="362EA065" w14:textId="77777777" w:rsidR="00F91F6B" w:rsidRPr="00F91F6B" w:rsidRDefault="00F91F6B" w:rsidP="00C62B32">
            <w:pPr>
              <w:ind w:left="0"/>
              <w:jc w:val="center"/>
              <w:rPr>
                <w:b/>
                <w:bCs/>
                <w:highlight w:val="yellow"/>
              </w:rPr>
            </w:pPr>
            <w:r w:rsidRPr="00F91F6B">
              <w:rPr>
                <w:b/>
                <w:bCs/>
              </w:rPr>
              <w:t>Highly Differentiated</w:t>
            </w:r>
          </w:p>
        </w:tc>
      </w:tr>
      <w:tr w:rsidR="00F91F6B" w14:paraId="6CD21F27" w14:textId="77777777" w:rsidTr="00C62B32">
        <w:tc>
          <w:tcPr>
            <w:tcW w:w="9061" w:type="dxa"/>
            <w:gridSpan w:val="5"/>
          </w:tcPr>
          <w:p w14:paraId="72136337" w14:textId="0D073FB1" w:rsidR="00F91F6B" w:rsidRPr="00F91F6B" w:rsidRDefault="00F91F6B" w:rsidP="00C62B32">
            <w:pPr>
              <w:ind w:left="0"/>
              <w:jc w:val="center"/>
              <w:rPr>
                <w:b/>
                <w:bCs/>
                <w:sz w:val="28"/>
                <w:szCs w:val="28"/>
                <w:u w:val="single"/>
              </w:rPr>
            </w:pPr>
            <w:r w:rsidRPr="00F91F6B">
              <w:rPr>
                <w:u w:val="single"/>
              </w:rPr>
              <w:t xml:space="preserve">Buyer Switching Costs </w:t>
            </w:r>
          </w:p>
        </w:tc>
      </w:tr>
      <w:tr w:rsidR="00F91F6B" w14:paraId="222DD6B4" w14:textId="77777777" w:rsidTr="00C62B32">
        <w:tc>
          <w:tcPr>
            <w:tcW w:w="1812" w:type="dxa"/>
          </w:tcPr>
          <w:p w14:paraId="540203D8" w14:textId="77777777" w:rsidR="00F91F6B" w:rsidRPr="00F91F6B" w:rsidRDefault="00F91F6B" w:rsidP="00C62B32">
            <w:pPr>
              <w:ind w:left="0"/>
              <w:jc w:val="center"/>
              <w:rPr>
                <w:b/>
                <w:bCs/>
              </w:rPr>
            </w:pPr>
            <w:r w:rsidRPr="00F91F6B">
              <w:rPr>
                <w:b/>
                <w:bCs/>
              </w:rPr>
              <w:t>Low</w:t>
            </w:r>
          </w:p>
        </w:tc>
        <w:tc>
          <w:tcPr>
            <w:tcW w:w="1812" w:type="dxa"/>
          </w:tcPr>
          <w:p w14:paraId="6C5A45DD" w14:textId="77777777" w:rsidR="00F91F6B" w:rsidRPr="00F91F6B" w:rsidRDefault="00F91F6B" w:rsidP="00C62B32">
            <w:pPr>
              <w:ind w:left="0"/>
              <w:jc w:val="center"/>
              <w:rPr>
                <w:b/>
                <w:bCs/>
              </w:rPr>
            </w:pPr>
          </w:p>
        </w:tc>
        <w:tc>
          <w:tcPr>
            <w:tcW w:w="1812" w:type="dxa"/>
          </w:tcPr>
          <w:p w14:paraId="5E372BAA" w14:textId="77777777" w:rsidR="00F91F6B" w:rsidRPr="00F91F6B" w:rsidRDefault="00F91F6B" w:rsidP="00C62B32">
            <w:pPr>
              <w:ind w:left="0"/>
              <w:jc w:val="center"/>
              <w:rPr>
                <w:b/>
                <w:bCs/>
              </w:rPr>
            </w:pPr>
          </w:p>
        </w:tc>
        <w:tc>
          <w:tcPr>
            <w:tcW w:w="1812" w:type="dxa"/>
          </w:tcPr>
          <w:p w14:paraId="059306AE" w14:textId="77777777" w:rsidR="00F91F6B" w:rsidRPr="00F91F6B" w:rsidRDefault="00F91F6B" w:rsidP="00C62B32">
            <w:pPr>
              <w:ind w:left="0"/>
              <w:jc w:val="center"/>
              <w:rPr>
                <w:b/>
                <w:bCs/>
              </w:rPr>
            </w:pPr>
          </w:p>
        </w:tc>
        <w:tc>
          <w:tcPr>
            <w:tcW w:w="1813" w:type="dxa"/>
          </w:tcPr>
          <w:p w14:paraId="74740697" w14:textId="65613E8C" w:rsidR="00F91F6B" w:rsidRPr="00F91F6B" w:rsidRDefault="00F91F6B" w:rsidP="00C62B32">
            <w:pPr>
              <w:ind w:left="0"/>
              <w:jc w:val="center"/>
              <w:rPr>
                <w:b/>
                <w:bCs/>
              </w:rPr>
            </w:pPr>
            <w:r w:rsidRPr="00F91F6B">
              <w:rPr>
                <w:b/>
                <w:bCs/>
              </w:rPr>
              <w:t>High</w:t>
            </w:r>
          </w:p>
        </w:tc>
      </w:tr>
      <w:tr w:rsidR="00F91F6B" w14:paraId="34EC435F" w14:textId="77777777" w:rsidTr="00C62B32">
        <w:tc>
          <w:tcPr>
            <w:tcW w:w="9061" w:type="dxa"/>
            <w:gridSpan w:val="5"/>
          </w:tcPr>
          <w:p w14:paraId="53927701" w14:textId="5FC58C24" w:rsidR="00F91F6B" w:rsidRPr="00F91F6B" w:rsidRDefault="00F91F6B" w:rsidP="00C62B32">
            <w:pPr>
              <w:ind w:left="0"/>
              <w:jc w:val="center"/>
              <w:rPr>
                <w:b/>
                <w:bCs/>
                <w:sz w:val="28"/>
                <w:szCs w:val="28"/>
                <w:highlight w:val="yellow"/>
                <w:u w:val="single"/>
              </w:rPr>
            </w:pPr>
            <w:proofErr w:type="gramStart"/>
            <w:r w:rsidRPr="00F91F6B">
              <w:rPr>
                <w:u w:val="single"/>
              </w:rPr>
              <w:t>Overall</w:t>
            </w:r>
            <w:proofErr w:type="gramEnd"/>
            <w:r>
              <w:rPr>
                <w:u w:val="single"/>
              </w:rPr>
              <w:t xml:space="preserve"> </w:t>
            </w:r>
            <w:r w:rsidRPr="00F91F6B">
              <w:rPr>
                <w:u w:val="single"/>
              </w:rPr>
              <w:t xml:space="preserve">Buyer Costs </w:t>
            </w:r>
          </w:p>
        </w:tc>
      </w:tr>
      <w:tr w:rsidR="00F91F6B" w14:paraId="4F1F4B0D" w14:textId="77777777" w:rsidTr="00C62B32">
        <w:tc>
          <w:tcPr>
            <w:tcW w:w="1812" w:type="dxa"/>
          </w:tcPr>
          <w:p w14:paraId="66E15D77" w14:textId="074F5F90" w:rsidR="00F91F6B" w:rsidRPr="00F91F6B" w:rsidRDefault="00F91F6B" w:rsidP="00C62B32">
            <w:pPr>
              <w:ind w:left="0"/>
              <w:jc w:val="center"/>
              <w:rPr>
                <w:b/>
                <w:bCs/>
                <w:sz w:val="28"/>
                <w:szCs w:val="28"/>
                <w:highlight w:val="yellow"/>
              </w:rPr>
            </w:pPr>
            <w:r>
              <w:t>Low %</w:t>
            </w:r>
          </w:p>
        </w:tc>
        <w:tc>
          <w:tcPr>
            <w:tcW w:w="1812" w:type="dxa"/>
          </w:tcPr>
          <w:p w14:paraId="6ECB82C8" w14:textId="77777777" w:rsidR="00F91F6B" w:rsidRPr="00F91F6B" w:rsidRDefault="00F91F6B" w:rsidP="00C62B32">
            <w:pPr>
              <w:ind w:left="0"/>
              <w:jc w:val="center"/>
              <w:rPr>
                <w:b/>
                <w:bCs/>
                <w:sz w:val="28"/>
                <w:szCs w:val="28"/>
                <w:highlight w:val="yellow"/>
              </w:rPr>
            </w:pPr>
          </w:p>
        </w:tc>
        <w:tc>
          <w:tcPr>
            <w:tcW w:w="1812" w:type="dxa"/>
          </w:tcPr>
          <w:p w14:paraId="106529B8" w14:textId="77777777" w:rsidR="00F91F6B" w:rsidRPr="00F91F6B" w:rsidRDefault="00F91F6B" w:rsidP="00C62B32">
            <w:pPr>
              <w:ind w:left="0"/>
              <w:jc w:val="center"/>
              <w:rPr>
                <w:b/>
                <w:bCs/>
                <w:sz w:val="28"/>
                <w:szCs w:val="28"/>
                <w:highlight w:val="yellow"/>
              </w:rPr>
            </w:pPr>
          </w:p>
        </w:tc>
        <w:tc>
          <w:tcPr>
            <w:tcW w:w="1812" w:type="dxa"/>
          </w:tcPr>
          <w:p w14:paraId="13FE4373" w14:textId="77777777" w:rsidR="00F91F6B" w:rsidRPr="00F91F6B" w:rsidRDefault="00F91F6B" w:rsidP="00C62B32">
            <w:pPr>
              <w:ind w:left="0"/>
              <w:jc w:val="center"/>
              <w:rPr>
                <w:b/>
                <w:bCs/>
                <w:sz w:val="28"/>
                <w:szCs w:val="28"/>
                <w:highlight w:val="yellow"/>
              </w:rPr>
            </w:pPr>
          </w:p>
        </w:tc>
        <w:tc>
          <w:tcPr>
            <w:tcW w:w="1813" w:type="dxa"/>
          </w:tcPr>
          <w:p w14:paraId="1C6E50D2" w14:textId="1DBBA705" w:rsidR="00F91F6B" w:rsidRPr="00F91F6B" w:rsidRDefault="00F91F6B" w:rsidP="00C62B32">
            <w:pPr>
              <w:ind w:left="0"/>
              <w:jc w:val="center"/>
              <w:rPr>
                <w:b/>
                <w:bCs/>
                <w:sz w:val="28"/>
                <w:szCs w:val="28"/>
                <w:highlight w:val="yellow"/>
              </w:rPr>
            </w:pPr>
            <w:r>
              <w:t>High %</w:t>
            </w:r>
          </w:p>
        </w:tc>
      </w:tr>
      <w:tr w:rsidR="00F91F6B" w14:paraId="2A8992A8" w14:textId="77777777" w:rsidTr="00C62B32">
        <w:tc>
          <w:tcPr>
            <w:tcW w:w="9061" w:type="dxa"/>
            <w:gridSpan w:val="5"/>
          </w:tcPr>
          <w:p w14:paraId="42F42057" w14:textId="6E9602EB" w:rsidR="00F91F6B" w:rsidRPr="00F91F6B" w:rsidRDefault="00F91F6B" w:rsidP="00C62B32">
            <w:pPr>
              <w:ind w:left="0"/>
              <w:jc w:val="center"/>
              <w:rPr>
                <w:u w:val="single"/>
              </w:rPr>
            </w:pPr>
            <w:r w:rsidRPr="00F91F6B">
              <w:rPr>
                <w:u w:val="single"/>
              </w:rPr>
              <w:t xml:space="preserve">Buyer Profitability </w:t>
            </w:r>
          </w:p>
        </w:tc>
      </w:tr>
      <w:tr w:rsidR="00F91F6B" w14:paraId="380247A0" w14:textId="77777777" w:rsidTr="00C62B32">
        <w:tc>
          <w:tcPr>
            <w:tcW w:w="1812" w:type="dxa"/>
          </w:tcPr>
          <w:p w14:paraId="7ACC03D4" w14:textId="5E2E39C3" w:rsidR="00F91F6B" w:rsidRPr="00F91F6B" w:rsidRDefault="00F91F6B" w:rsidP="00C62B32">
            <w:pPr>
              <w:ind w:left="0"/>
              <w:jc w:val="center"/>
              <w:rPr>
                <w:b/>
                <w:bCs/>
              </w:rPr>
            </w:pPr>
            <w:r w:rsidRPr="00F91F6B">
              <w:rPr>
                <w:b/>
                <w:bCs/>
              </w:rPr>
              <w:t>Operating Losses</w:t>
            </w:r>
          </w:p>
        </w:tc>
        <w:tc>
          <w:tcPr>
            <w:tcW w:w="1812" w:type="dxa"/>
          </w:tcPr>
          <w:p w14:paraId="7FBBE32F" w14:textId="77777777" w:rsidR="00F91F6B" w:rsidRPr="00F91F6B" w:rsidRDefault="00F91F6B" w:rsidP="00C62B32">
            <w:pPr>
              <w:ind w:left="0"/>
              <w:jc w:val="center"/>
              <w:rPr>
                <w:b/>
                <w:bCs/>
                <w:sz w:val="28"/>
                <w:szCs w:val="28"/>
                <w:highlight w:val="yellow"/>
              </w:rPr>
            </w:pPr>
          </w:p>
        </w:tc>
        <w:tc>
          <w:tcPr>
            <w:tcW w:w="1812" w:type="dxa"/>
          </w:tcPr>
          <w:p w14:paraId="660775FC" w14:textId="77777777" w:rsidR="00F91F6B" w:rsidRPr="00F91F6B" w:rsidRDefault="00F91F6B" w:rsidP="00C62B32">
            <w:pPr>
              <w:ind w:left="0"/>
              <w:jc w:val="center"/>
              <w:rPr>
                <w:b/>
                <w:bCs/>
                <w:sz w:val="28"/>
                <w:szCs w:val="28"/>
                <w:highlight w:val="yellow"/>
              </w:rPr>
            </w:pPr>
          </w:p>
        </w:tc>
        <w:tc>
          <w:tcPr>
            <w:tcW w:w="1812" w:type="dxa"/>
          </w:tcPr>
          <w:p w14:paraId="474644C0" w14:textId="77777777" w:rsidR="00F91F6B" w:rsidRPr="00F91F6B" w:rsidRDefault="00F91F6B" w:rsidP="00C62B32">
            <w:pPr>
              <w:ind w:left="0"/>
              <w:jc w:val="center"/>
              <w:rPr>
                <w:b/>
                <w:bCs/>
                <w:sz w:val="28"/>
                <w:szCs w:val="28"/>
                <w:highlight w:val="yellow"/>
              </w:rPr>
            </w:pPr>
          </w:p>
        </w:tc>
        <w:tc>
          <w:tcPr>
            <w:tcW w:w="1813" w:type="dxa"/>
          </w:tcPr>
          <w:p w14:paraId="6DC84B6B" w14:textId="199BB046" w:rsidR="00F91F6B" w:rsidRPr="00F91F6B" w:rsidRDefault="00F91F6B" w:rsidP="00C62B32">
            <w:pPr>
              <w:ind w:left="0"/>
              <w:jc w:val="center"/>
              <w:rPr>
                <w:b/>
                <w:bCs/>
              </w:rPr>
            </w:pPr>
            <w:r w:rsidRPr="00F91F6B">
              <w:rPr>
                <w:b/>
                <w:bCs/>
              </w:rPr>
              <w:t>High Profits</w:t>
            </w:r>
          </w:p>
        </w:tc>
      </w:tr>
      <w:tr w:rsidR="00F91F6B" w14:paraId="7D9D4151" w14:textId="77777777" w:rsidTr="00C62B32">
        <w:tc>
          <w:tcPr>
            <w:tcW w:w="9061" w:type="dxa"/>
            <w:gridSpan w:val="5"/>
          </w:tcPr>
          <w:p w14:paraId="2E3335A2" w14:textId="4B445698" w:rsidR="00F91F6B" w:rsidRPr="00F91F6B" w:rsidRDefault="00F91F6B" w:rsidP="00C62B32">
            <w:pPr>
              <w:ind w:left="0"/>
              <w:jc w:val="center"/>
              <w:rPr>
                <w:b/>
                <w:bCs/>
                <w:u w:val="single"/>
              </w:rPr>
            </w:pPr>
            <w:r w:rsidRPr="00F91F6B">
              <w:rPr>
                <w:u w:val="single"/>
              </w:rPr>
              <w:t xml:space="preserve">Buyer Product/Service </w:t>
            </w:r>
          </w:p>
        </w:tc>
      </w:tr>
      <w:tr w:rsidR="00F91F6B" w14:paraId="76C6AE69" w14:textId="77777777" w:rsidTr="00C62B32">
        <w:tc>
          <w:tcPr>
            <w:tcW w:w="1812" w:type="dxa"/>
          </w:tcPr>
          <w:p w14:paraId="14DFCCD8" w14:textId="0AEC3A90" w:rsidR="00F91F6B" w:rsidRPr="00F91F6B" w:rsidRDefault="00F91F6B" w:rsidP="00C62B32">
            <w:pPr>
              <w:ind w:left="0"/>
              <w:jc w:val="center"/>
              <w:rPr>
                <w:b/>
                <w:bCs/>
              </w:rPr>
            </w:pPr>
            <w:r>
              <w:rPr>
                <w:b/>
                <w:bCs/>
              </w:rPr>
              <w:t>Low impact</w:t>
            </w:r>
          </w:p>
        </w:tc>
        <w:tc>
          <w:tcPr>
            <w:tcW w:w="1812" w:type="dxa"/>
          </w:tcPr>
          <w:p w14:paraId="68C23D3A" w14:textId="77777777" w:rsidR="00F91F6B" w:rsidRPr="00F91F6B" w:rsidRDefault="00F91F6B" w:rsidP="00C62B32">
            <w:pPr>
              <w:ind w:left="0"/>
              <w:jc w:val="center"/>
              <w:rPr>
                <w:b/>
                <w:bCs/>
                <w:sz w:val="28"/>
                <w:szCs w:val="28"/>
                <w:highlight w:val="yellow"/>
              </w:rPr>
            </w:pPr>
          </w:p>
        </w:tc>
        <w:tc>
          <w:tcPr>
            <w:tcW w:w="1812" w:type="dxa"/>
          </w:tcPr>
          <w:p w14:paraId="7EB3D433" w14:textId="77777777" w:rsidR="00F91F6B" w:rsidRPr="00F91F6B" w:rsidRDefault="00F91F6B" w:rsidP="00C62B32">
            <w:pPr>
              <w:ind w:left="0"/>
              <w:jc w:val="center"/>
              <w:rPr>
                <w:b/>
                <w:bCs/>
                <w:sz w:val="28"/>
                <w:szCs w:val="28"/>
                <w:highlight w:val="yellow"/>
              </w:rPr>
            </w:pPr>
          </w:p>
        </w:tc>
        <w:tc>
          <w:tcPr>
            <w:tcW w:w="1812" w:type="dxa"/>
          </w:tcPr>
          <w:p w14:paraId="53E0AB93" w14:textId="77777777" w:rsidR="00F91F6B" w:rsidRPr="00F91F6B" w:rsidRDefault="00F91F6B" w:rsidP="00C62B32">
            <w:pPr>
              <w:ind w:left="0"/>
              <w:jc w:val="center"/>
              <w:rPr>
                <w:b/>
                <w:bCs/>
                <w:sz w:val="28"/>
                <w:szCs w:val="28"/>
                <w:highlight w:val="yellow"/>
              </w:rPr>
            </w:pPr>
          </w:p>
        </w:tc>
        <w:tc>
          <w:tcPr>
            <w:tcW w:w="1813" w:type="dxa"/>
          </w:tcPr>
          <w:p w14:paraId="6D231AC3" w14:textId="61112B42" w:rsidR="00F91F6B" w:rsidRPr="00F91F6B" w:rsidRDefault="00F91F6B" w:rsidP="00C62B32">
            <w:pPr>
              <w:ind w:left="0"/>
              <w:jc w:val="center"/>
              <w:rPr>
                <w:b/>
                <w:bCs/>
              </w:rPr>
            </w:pPr>
            <w:r>
              <w:rPr>
                <w:b/>
                <w:bCs/>
              </w:rPr>
              <w:t xml:space="preserve">High impact </w:t>
            </w:r>
          </w:p>
        </w:tc>
      </w:tr>
    </w:tbl>
    <w:p w14:paraId="6EFFA86D" w14:textId="5E94D827" w:rsidR="00C930E1" w:rsidRDefault="00686750" w:rsidP="00C930E1">
      <w:pPr>
        <w:spacing w:after="160" w:line="259" w:lineRule="auto"/>
        <w:ind w:left="0"/>
        <w:jc w:val="left"/>
        <w:rPr>
          <w:b/>
          <w:bCs/>
          <w:sz w:val="16"/>
          <w:szCs w:val="16"/>
        </w:rPr>
      </w:pPr>
      <w:r>
        <w:rPr>
          <w:b/>
          <w:bCs/>
          <w:noProof/>
          <w:sz w:val="16"/>
          <w:szCs w:val="16"/>
        </w:rPr>
        <w:drawing>
          <wp:anchor distT="0" distB="0" distL="114300" distR="114300" simplePos="0" relativeHeight="251658240" behindDoc="1" locked="0" layoutInCell="1" allowOverlap="1" wp14:anchorId="0A9BE8A0" wp14:editId="245244C5">
            <wp:simplePos x="0" y="0"/>
            <wp:positionH relativeFrom="column">
              <wp:posOffset>69850</wp:posOffset>
            </wp:positionH>
            <wp:positionV relativeFrom="paragraph">
              <wp:posOffset>290195</wp:posOffset>
            </wp:positionV>
            <wp:extent cx="6391275" cy="3343275"/>
            <wp:effectExtent l="0" t="0" r="9525" b="9525"/>
            <wp:wrapTight wrapText="bothSides">
              <wp:wrapPolygon edited="0">
                <wp:start x="0" y="0"/>
                <wp:lineTo x="0" y="21538"/>
                <wp:lineTo x="21568" y="21538"/>
                <wp:lineTo x="21568" y="0"/>
                <wp:lineTo x="0" y="0"/>
              </wp:wrapPolygon>
            </wp:wrapTight>
            <wp:docPr id="2112864284" name="Grafico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margin">
              <wp14:pctWidth>0</wp14:pctWidth>
            </wp14:sizeRelH>
            <wp14:sizeRelV relativeFrom="margin">
              <wp14:pctHeight>0</wp14:pctHeight>
            </wp14:sizeRelV>
          </wp:anchor>
        </w:drawing>
      </w:r>
      <w:r w:rsidR="00C930E1" w:rsidRPr="00C930E1">
        <w:rPr>
          <w:b/>
          <w:bCs/>
          <w:sz w:val="16"/>
          <w:szCs w:val="16"/>
        </w:rPr>
        <w:t xml:space="preserve">PS: the spider diagrams are formatted from 1 to 5, with 1 representing the lower end of the spectrum and 5 representing the highest one. </w:t>
      </w:r>
    </w:p>
    <w:p w14:paraId="089CA831" w14:textId="60F97F48" w:rsidR="00C930E1" w:rsidRPr="00C930E1" w:rsidRDefault="00C930E1" w:rsidP="00C930E1">
      <w:pPr>
        <w:spacing w:after="160" w:line="259" w:lineRule="auto"/>
        <w:ind w:left="0"/>
        <w:jc w:val="left"/>
        <w:rPr>
          <w:b/>
          <w:bCs/>
          <w:sz w:val="16"/>
          <w:szCs w:val="16"/>
        </w:rPr>
      </w:pPr>
    </w:p>
    <w:p w14:paraId="4648B975" w14:textId="06A9F0F2" w:rsidR="00C930E1" w:rsidRDefault="00C930E1">
      <w:pPr>
        <w:spacing w:after="160" w:line="259" w:lineRule="auto"/>
        <w:ind w:left="0"/>
        <w:jc w:val="left"/>
        <w:rPr>
          <w:b/>
          <w:bCs/>
          <w:sz w:val="28"/>
          <w:szCs w:val="28"/>
        </w:rPr>
      </w:pPr>
    </w:p>
    <w:tbl>
      <w:tblPr>
        <w:tblStyle w:val="Grigliatabella"/>
        <w:tblW w:w="0" w:type="auto"/>
        <w:tblInd w:w="567" w:type="dxa"/>
        <w:tblLook w:val="04A0" w:firstRow="1" w:lastRow="0" w:firstColumn="1" w:lastColumn="0" w:noHBand="0" w:noVBand="1"/>
      </w:tblPr>
      <w:tblGrid>
        <w:gridCol w:w="1812"/>
        <w:gridCol w:w="1812"/>
        <w:gridCol w:w="1812"/>
        <w:gridCol w:w="1812"/>
        <w:gridCol w:w="1813"/>
      </w:tblGrid>
      <w:tr w:rsidR="003F223C" w14:paraId="49F5466F" w14:textId="77777777" w:rsidTr="001516D0">
        <w:tc>
          <w:tcPr>
            <w:tcW w:w="9061" w:type="dxa"/>
            <w:gridSpan w:val="5"/>
            <w:shd w:val="clear" w:color="auto" w:fill="FFC000"/>
          </w:tcPr>
          <w:p w14:paraId="384BAB3E" w14:textId="6C236445" w:rsidR="003F223C" w:rsidRPr="003F223C" w:rsidRDefault="003F223C" w:rsidP="003F223C">
            <w:pPr>
              <w:ind w:left="0"/>
              <w:jc w:val="center"/>
              <w:rPr>
                <w:b/>
                <w:bCs/>
                <w:sz w:val="28"/>
                <w:szCs w:val="28"/>
              </w:rPr>
            </w:pPr>
            <w:r w:rsidRPr="003F223C">
              <w:rPr>
                <w:rFonts w:ascii="Calibri" w:eastAsia="Times New Roman" w:hAnsi="Calibri" w:cs="Calibri"/>
                <w:b/>
                <w:bCs/>
                <w:kern w:val="0"/>
                <w:sz w:val="28"/>
                <w:szCs w:val="28"/>
                <w:lang w:eastAsia="en-GB"/>
                <w14:ligatures w14:val="none"/>
              </w:rPr>
              <w:t>Threat of Substitutes</w:t>
            </w:r>
          </w:p>
        </w:tc>
      </w:tr>
      <w:tr w:rsidR="003F223C" w14:paraId="36CC0F69" w14:textId="77777777" w:rsidTr="00C62B32">
        <w:tc>
          <w:tcPr>
            <w:tcW w:w="9061" w:type="dxa"/>
            <w:gridSpan w:val="5"/>
          </w:tcPr>
          <w:p w14:paraId="619BF327" w14:textId="4FA53DE9" w:rsidR="003F223C" w:rsidRPr="003F223C" w:rsidRDefault="003F223C" w:rsidP="003F223C">
            <w:pPr>
              <w:ind w:left="0"/>
              <w:jc w:val="center"/>
              <w:rPr>
                <w:u w:val="single"/>
              </w:rPr>
            </w:pPr>
            <w:r w:rsidRPr="003F223C">
              <w:rPr>
                <w:u w:val="single"/>
              </w:rPr>
              <w:t>Price/Indirect Costs</w:t>
            </w:r>
          </w:p>
        </w:tc>
      </w:tr>
      <w:tr w:rsidR="003F223C" w14:paraId="775C2770" w14:textId="77777777" w:rsidTr="00C62B32">
        <w:tc>
          <w:tcPr>
            <w:tcW w:w="1812" w:type="dxa"/>
          </w:tcPr>
          <w:p w14:paraId="4D780CBB" w14:textId="6DF2437D" w:rsidR="003F223C" w:rsidRPr="00BA2A8E" w:rsidRDefault="003F223C" w:rsidP="003F223C">
            <w:pPr>
              <w:ind w:left="0"/>
              <w:jc w:val="center"/>
              <w:rPr>
                <w:b/>
                <w:bCs/>
              </w:rPr>
            </w:pPr>
            <w:r w:rsidRPr="00BA2A8E">
              <w:rPr>
                <w:b/>
                <w:bCs/>
              </w:rPr>
              <w:t>L</w:t>
            </w:r>
            <w:r>
              <w:rPr>
                <w:b/>
                <w:bCs/>
              </w:rPr>
              <w:t xml:space="preserve">ess expensive </w:t>
            </w:r>
          </w:p>
        </w:tc>
        <w:tc>
          <w:tcPr>
            <w:tcW w:w="1812" w:type="dxa"/>
          </w:tcPr>
          <w:p w14:paraId="118D36C1" w14:textId="77777777" w:rsidR="003F223C" w:rsidRPr="00BA2A8E" w:rsidRDefault="003F223C" w:rsidP="003F223C">
            <w:pPr>
              <w:ind w:left="0"/>
              <w:jc w:val="center"/>
              <w:rPr>
                <w:b/>
                <w:bCs/>
              </w:rPr>
            </w:pPr>
          </w:p>
        </w:tc>
        <w:tc>
          <w:tcPr>
            <w:tcW w:w="1812" w:type="dxa"/>
          </w:tcPr>
          <w:p w14:paraId="717A5543" w14:textId="77777777" w:rsidR="003F223C" w:rsidRPr="00BA2A8E" w:rsidRDefault="003F223C" w:rsidP="003F223C">
            <w:pPr>
              <w:ind w:left="0"/>
              <w:jc w:val="center"/>
              <w:rPr>
                <w:b/>
                <w:bCs/>
              </w:rPr>
            </w:pPr>
          </w:p>
        </w:tc>
        <w:tc>
          <w:tcPr>
            <w:tcW w:w="1812" w:type="dxa"/>
          </w:tcPr>
          <w:p w14:paraId="7D25F2A8" w14:textId="77777777" w:rsidR="003F223C" w:rsidRPr="00BA2A8E" w:rsidRDefault="003F223C" w:rsidP="003F223C">
            <w:pPr>
              <w:ind w:left="0"/>
              <w:jc w:val="center"/>
              <w:rPr>
                <w:b/>
                <w:bCs/>
              </w:rPr>
            </w:pPr>
          </w:p>
        </w:tc>
        <w:tc>
          <w:tcPr>
            <w:tcW w:w="1813" w:type="dxa"/>
          </w:tcPr>
          <w:p w14:paraId="33DB1908" w14:textId="2579008D" w:rsidR="003F223C" w:rsidRPr="00BA2A8E" w:rsidRDefault="003F223C" w:rsidP="003F223C">
            <w:pPr>
              <w:ind w:left="0"/>
              <w:jc w:val="center"/>
              <w:rPr>
                <w:b/>
                <w:bCs/>
              </w:rPr>
            </w:pPr>
            <w:r>
              <w:rPr>
                <w:b/>
                <w:bCs/>
              </w:rPr>
              <w:t xml:space="preserve">More expensive </w:t>
            </w:r>
          </w:p>
        </w:tc>
      </w:tr>
      <w:tr w:rsidR="003F223C" w14:paraId="377D7EAE" w14:textId="77777777" w:rsidTr="00C62B32">
        <w:tc>
          <w:tcPr>
            <w:tcW w:w="9061" w:type="dxa"/>
            <w:gridSpan w:val="5"/>
          </w:tcPr>
          <w:p w14:paraId="2561E43B" w14:textId="0920A056" w:rsidR="003F223C" w:rsidRPr="003F223C" w:rsidRDefault="003F223C" w:rsidP="003F223C">
            <w:pPr>
              <w:ind w:left="0"/>
              <w:jc w:val="center"/>
              <w:rPr>
                <w:u w:val="single"/>
              </w:rPr>
            </w:pPr>
            <w:r w:rsidRPr="003F223C">
              <w:rPr>
                <w:u w:val="single"/>
              </w:rPr>
              <w:t>Buyer Price Sensitivity</w:t>
            </w:r>
          </w:p>
        </w:tc>
      </w:tr>
      <w:tr w:rsidR="003F223C" w14:paraId="499CBE5D" w14:textId="77777777" w:rsidTr="00C62B32">
        <w:tc>
          <w:tcPr>
            <w:tcW w:w="1812" w:type="dxa"/>
          </w:tcPr>
          <w:p w14:paraId="6471AB7B" w14:textId="7EFF93FC" w:rsidR="003F223C" w:rsidRPr="00BA2A8E" w:rsidRDefault="003F223C" w:rsidP="003F223C">
            <w:pPr>
              <w:ind w:left="0"/>
              <w:jc w:val="center"/>
              <w:rPr>
                <w:b/>
                <w:bCs/>
              </w:rPr>
            </w:pPr>
            <w:r w:rsidRPr="00BA2A8E">
              <w:rPr>
                <w:b/>
                <w:bCs/>
              </w:rPr>
              <w:t xml:space="preserve">Low </w:t>
            </w:r>
          </w:p>
        </w:tc>
        <w:tc>
          <w:tcPr>
            <w:tcW w:w="1812" w:type="dxa"/>
          </w:tcPr>
          <w:p w14:paraId="77CC7874" w14:textId="77777777" w:rsidR="003F223C" w:rsidRPr="00BA2A8E" w:rsidRDefault="003F223C" w:rsidP="003F223C">
            <w:pPr>
              <w:ind w:left="0"/>
              <w:jc w:val="center"/>
              <w:rPr>
                <w:b/>
                <w:bCs/>
              </w:rPr>
            </w:pPr>
          </w:p>
        </w:tc>
        <w:tc>
          <w:tcPr>
            <w:tcW w:w="1812" w:type="dxa"/>
          </w:tcPr>
          <w:p w14:paraId="7A35F41F" w14:textId="77777777" w:rsidR="003F223C" w:rsidRPr="00BA2A8E" w:rsidRDefault="003F223C" w:rsidP="003F223C">
            <w:pPr>
              <w:ind w:left="0"/>
              <w:jc w:val="center"/>
              <w:rPr>
                <w:b/>
                <w:bCs/>
              </w:rPr>
            </w:pPr>
          </w:p>
        </w:tc>
        <w:tc>
          <w:tcPr>
            <w:tcW w:w="1812" w:type="dxa"/>
          </w:tcPr>
          <w:p w14:paraId="02E33E61" w14:textId="77777777" w:rsidR="003F223C" w:rsidRPr="00BA2A8E" w:rsidRDefault="003F223C" w:rsidP="003F223C">
            <w:pPr>
              <w:ind w:left="0"/>
              <w:jc w:val="center"/>
              <w:rPr>
                <w:b/>
                <w:bCs/>
              </w:rPr>
            </w:pPr>
          </w:p>
        </w:tc>
        <w:tc>
          <w:tcPr>
            <w:tcW w:w="1813" w:type="dxa"/>
          </w:tcPr>
          <w:p w14:paraId="62DCBF1E" w14:textId="6B059E2D" w:rsidR="003F223C" w:rsidRPr="00BA2A8E" w:rsidRDefault="003F223C" w:rsidP="003F223C">
            <w:pPr>
              <w:ind w:left="0"/>
              <w:jc w:val="center"/>
              <w:rPr>
                <w:b/>
                <w:bCs/>
              </w:rPr>
            </w:pPr>
            <w:r w:rsidRPr="00BA2A8E">
              <w:rPr>
                <w:b/>
                <w:bCs/>
              </w:rPr>
              <w:t xml:space="preserve">High </w:t>
            </w:r>
          </w:p>
        </w:tc>
      </w:tr>
      <w:tr w:rsidR="003F223C" w14:paraId="32946FBD" w14:textId="77777777" w:rsidTr="00C62B32">
        <w:tc>
          <w:tcPr>
            <w:tcW w:w="9061" w:type="dxa"/>
            <w:gridSpan w:val="5"/>
          </w:tcPr>
          <w:p w14:paraId="1D3FC5D0" w14:textId="6A4DB643" w:rsidR="003F223C" w:rsidRPr="00BA2A8E" w:rsidRDefault="003F223C" w:rsidP="003F223C">
            <w:pPr>
              <w:ind w:left="0"/>
              <w:jc w:val="center"/>
              <w:rPr>
                <w:b/>
                <w:bCs/>
                <w:sz w:val="28"/>
                <w:szCs w:val="28"/>
                <w:u w:val="single"/>
              </w:rPr>
            </w:pPr>
            <w:r w:rsidRPr="003F223C">
              <w:rPr>
                <w:u w:val="single"/>
              </w:rPr>
              <w:t>Performance</w:t>
            </w:r>
          </w:p>
        </w:tc>
      </w:tr>
      <w:tr w:rsidR="003F223C" w14:paraId="7839189A" w14:textId="77777777" w:rsidTr="00C62B32">
        <w:tc>
          <w:tcPr>
            <w:tcW w:w="1812" w:type="dxa"/>
          </w:tcPr>
          <w:p w14:paraId="038F81D3" w14:textId="7A397DE3" w:rsidR="003F223C" w:rsidRPr="00BA2A8E" w:rsidRDefault="003F223C" w:rsidP="003F223C">
            <w:pPr>
              <w:ind w:left="0"/>
              <w:jc w:val="center"/>
              <w:rPr>
                <w:b/>
                <w:bCs/>
              </w:rPr>
            </w:pPr>
            <w:r w:rsidRPr="00BA2A8E">
              <w:rPr>
                <w:b/>
                <w:bCs/>
              </w:rPr>
              <w:t>Low</w:t>
            </w:r>
            <w:r>
              <w:rPr>
                <w:b/>
                <w:bCs/>
              </w:rPr>
              <w:t>er</w:t>
            </w:r>
          </w:p>
        </w:tc>
        <w:tc>
          <w:tcPr>
            <w:tcW w:w="1812" w:type="dxa"/>
          </w:tcPr>
          <w:p w14:paraId="33743F2A" w14:textId="77777777" w:rsidR="003F223C" w:rsidRPr="00BA2A8E" w:rsidRDefault="003F223C" w:rsidP="003F223C">
            <w:pPr>
              <w:ind w:left="0"/>
              <w:jc w:val="center"/>
              <w:rPr>
                <w:b/>
                <w:bCs/>
              </w:rPr>
            </w:pPr>
          </w:p>
        </w:tc>
        <w:tc>
          <w:tcPr>
            <w:tcW w:w="1812" w:type="dxa"/>
          </w:tcPr>
          <w:p w14:paraId="0DA7FAFD" w14:textId="77777777" w:rsidR="003F223C" w:rsidRPr="00BA2A8E" w:rsidRDefault="003F223C" w:rsidP="003F223C">
            <w:pPr>
              <w:ind w:left="0"/>
              <w:jc w:val="center"/>
              <w:rPr>
                <w:b/>
                <w:bCs/>
              </w:rPr>
            </w:pPr>
          </w:p>
        </w:tc>
        <w:tc>
          <w:tcPr>
            <w:tcW w:w="1812" w:type="dxa"/>
          </w:tcPr>
          <w:p w14:paraId="00546F64" w14:textId="77777777" w:rsidR="003F223C" w:rsidRPr="00BA2A8E" w:rsidRDefault="003F223C" w:rsidP="003F223C">
            <w:pPr>
              <w:ind w:left="0"/>
              <w:jc w:val="center"/>
              <w:rPr>
                <w:b/>
                <w:bCs/>
              </w:rPr>
            </w:pPr>
          </w:p>
        </w:tc>
        <w:tc>
          <w:tcPr>
            <w:tcW w:w="1813" w:type="dxa"/>
          </w:tcPr>
          <w:p w14:paraId="4241FAA3" w14:textId="1F1A037F" w:rsidR="003F223C" w:rsidRPr="00BA2A8E" w:rsidRDefault="003F223C" w:rsidP="003F223C">
            <w:pPr>
              <w:ind w:left="0"/>
              <w:jc w:val="center"/>
              <w:rPr>
                <w:b/>
                <w:bCs/>
              </w:rPr>
            </w:pPr>
            <w:r w:rsidRPr="00BA2A8E">
              <w:rPr>
                <w:b/>
                <w:bCs/>
              </w:rPr>
              <w:t>High</w:t>
            </w:r>
            <w:r>
              <w:rPr>
                <w:b/>
                <w:bCs/>
              </w:rPr>
              <w:t>er</w:t>
            </w:r>
          </w:p>
        </w:tc>
      </w:tr>
      <w:tr w:rsidR="003F223C" w14:paraId="461BFAB1" w14:textId="77777777" w:rsidTr="00C62B32">
        <w:tc>
          <w:tcPr>
            <w:tcW w:w="9061" w:type="dxa"/>
            <w:gridSpan w:val="5"/>
          </w:tcPr>
          <w:p w14:paraId="4171CEEC" w14:textId="178A9EBC" w:rsidR="003F223C" w:rsidRPr="003F223C" w:rsidRDefault="003F223C" w:rsidP="003F223C">
            <w:pPr>
              <w:ind w:left="0"/>
              <w:jc w:val="center"/>
              <w:rPr>
                <w:b/>
                <w:bCs/>
                <w:sz w:val="28"/>
                <w:szCs w:val="28"/>
                <w:u w:val="single"/>
              </w:rPr>
            </w:pPr>
            <w:r w:rsidRPr="003F223C">
              <w:rPr>
                <w:u w:val="single"/>
              </w:rPr>
              <w:t>Buyer Switching Costs</w:t>
            </w:r>
          </w:p>
        </w:tc>
      </w:tr>
      <w:tr w:rsidR="003F223C" w14:paraId="588C848C" w14:textId="77777777" w:rsidTr="00C62B32">
        <w:tc>
          <w:tcPr>
            <w:tcW w:w="1812" w:type="dxa"/>
          </w:tcPr>
          <w:p w14:paraId="3A6D32AA" w14:textId="77777777" w:rsidR="003F223C" w:rsidRPr="003F223C" w:rsidRDefault="003F223C" w:rsidP="003F223C">
            <w:pPr>
              <w:ind w:left="0"/>
              <w:jc w:val="center"/>
              <w:rPr>
                <w:b/>
                <w:bCs/>
              </w:rPr>
            </w:pPr>
            <w:r w:rsidRPr="003F223C">
              <w:rPr>
                <w:b/>
                <w:bCs/>
              </w:rPr>
              <w:t>Low</w:t>
            </w:r>
          </w:p>
        </w:tc>
        <w:tc>
          <w:tcPr>
            <w:tcW w:w="1812" w:type="dxa"/>
          </w:tcPr>
          <w:p w14:paraId="0A3D7FD9" w14:textId="77777777" w:rsidR="003F223C" w:rsidRPr="003F223C" w:rsidRDefault="003F223C" w:rsidP="003F223C">
            <w:pPr>
              <w:ind w:left="0"/>
              <w:jc w:val="center"/>
              <w:rPr>
                <w:b/>
                <w:bCs/>
              </w:rPr>
            </w:pPr>
          </w:p>
        </w:tc>
        <w:tc>
          <w:tcPr>
            <w:tcW w:w="1812" w:type="dxa"/>
          </w:tcPr>
          <w:p w14:paraId="745E645F" w14:textId="77777777" w:rsidR="003F223C" w:rsidRPr="003F223C" w:rsidRDefault="003F223C" w:rsidP="003F223C">
            <w:pPr>
              <w:ind w:left="0"/>
              <w:jc w:val="center"/>
              <w:rPr>
                <w:b/>
                <w:bCs/>
              </w:rPr>
            </w:pPr>
          </w:p>
        </w:tc>
        <w:tc>
          <w:tcPr>
            <w:tcW w:w="1812" w:type="dxa"/>
          </w:tcPr>
          <w:p w14:paraId="643D87B9" w14:textId="77777777" w:rsidR="003F223C" w:rsidRPr="003F223C" w:rsidRDefault="003F223C" w:rsidP="003F223C">
            <w:pPr>
              <w:ind w:left="0"/>
              <w:jc w:val="center"/>
              <w:rPr>
                <w:b/>
                <w:bCs/>
              </w:rPr>
            </w:pPr>
          </w:p>
        </w:tc>
        <w:tc>
          <w:tcPr>
            <w:tcW w:w="1813" w:type="dxa"/>
          </w:tcPr>
          <w:p w14:paraId="278C9DC0" w14:textId="77777777" w:rsidR="003F223C" w:rsidRPr="003F223C" w:rsidRDefault="003F223C" w:rsidP="003F223C">
            <w:pPr>
              <w:ind w:left="0"/>
              <w:jc w:val="center"/>
              <w:rPr>
                <w:b/>
                <w:bCs/>
              </w:rPr>
            </w:pPr>
            <w:r w:rsidRPr="003F223C">
              <w:rPr>
                <w:b/>
                <w:bCs/>
              </w:rPr>
              <w:t>High</w:t>
            </w:r>
          </w:p>
        </w:tc>
      </w:tr>
      <w:tr w:rsidR="003F223C" w14:paraId="3E187106" w14:textId="77777777" w:rsidTr="00C62B32">
        <w:tc>
          <w:tcPr>
            <w:tcW w:w="9061" w:type="dxa"/>
            <w:gridSpan w:val="5"/>
          </w:tcPr>
          <w:p w14:paraId="21C5D8BC" w14:textId="5FA593D3" w:rsidR="003F223C" w:rsidRPr="003F223C" w:rsidRDefault="003F223C" w:rsidP="003F223C">
            <w:pPr>
              <w:ind w:left="0"/>
              <w:jc w:val="center"/>
              <w:rPr>
                <w:b/>
                <w:bCs/>
                <w:sz w:val="28"/>
                <w:szCs w:val="28"/>
                <w:u w:val="single"/>
              </w:rPr>
            </w:pPr>
            <w:r w:rsidRPr="003F223C">
              <w:rPr>
                <w:u w:val="single"/>
              </w:rPr>
              <w:t>Buyer Profile</w:t>
            </w:r>
          </w:p>
        </w:tc>
      </w:tr>
      <w:tr w:rsidR="003F223C" w14:paraId="6BB36EA2" w14:textId="77777777" w:rsidTr="00C62B32">
        <w:tc>
          <w:tcPr>
            <w:tcW w:w="1812" w:type="dxa"/>
          </w:tcPr>
          <w:p w14:paraId="4AB4CD05" w14:textId="6444911D" w:rsidR="003F223C" w:rsidRPr="003F223C" w:rsidRDefault="003F223C" w:rsidP="003F223C">
            <w:pPr>
              <w:ind w:left="0"/>
              <w:jc w:val="center"/>
              <w:rPr>
                <w:b/>
                <w:bCs/>
              </w:rPr>
            </w:pPr>
            <w:r>
              <w:rPr>
                <w:b/>
                <w:bCs/>
              </w:rPr>
              <w:t>Risk seeking</w:t>
            </w:r>
          </w:p>
        </w:tc>
        <w:tc>
          <w:tcPr>
            <w:tcW w:w="1812" w:type="dxa"/>
          </w:tcPr>
          <w:p w14:paraId="152A0A7E" w14:textId="77777777" w:rsidR="003F223C" w:rsidRPr="003F223C" w:rsidRDefault="003F223C" w:rsidP="003F223C">
            <w:pPr>
              <w:ind w:left="0"/>
              <w:jc w:val="center"/>
              <w:rPr>
                <w:b/>
                <w:bCs/>
              </w:rPr>
            </w:pPr>
          </w:p>
        </w:tc>
        <w:tc>
          <w:tcPr>
            <w:tcW w:w="1812" w:type="dxa"/>
          </w:tcPr>
          <w:p w14:paraId="08E136CE" w14:textId="77777777" w:rsidR="003F223C" w:rsidRPr="003F223C" w:rsidRDefault="003F223C" w:rsidP="003F223C">
            <w:pPr>
              <w:ind w:left="0"/>
              <w:jc w:val="center"/>
              <w:rPr>
                <w:b/>
                <w:bCs/>
              </w:rPr>
            </w:pPr>
          </w:p>
        </w:tc>
        <w:tc>
          <w:tcPr>
            <w:tcW w:w="1812" w:type="dxa"/>
          </w:tcPr>
          <w:p w14:paraId="430024B3" w14:textId="77777777" w:rsidR="003F223C" w:rsidRPr="003F223C" w:rsidRDefault="003F223C" w:rsidP="003F223C">
            <w:pPr>
              <w:ind w:left="0"/>
              <w:jc w:val="center"/>
              <w:rPr>
                <w:b/>
                <w:bCs/>
              </w:rPr>
            </w:pPr>
          </w:p>
        </w:tc>
        <w:tc>
          <w:tcPr>
            <w:tcW w:w="1813" w:type="dxa"/>
          </w:tcPr>
          <w:p w14:paraId="778CB2C7" w14:textId="35BD5D61" w:rsidR="003F223C" w:rsidRPr="003F223C" w:rsidRDefault="003F223C" w:rsidP="003F223C">
            <w:pPr>
              <w:ind w:left="0"/>
              <w:jc w:val="center"/>
              <w:rPr>
                <w:b/>
                <w:bCs/>
              </w:rPr>
            </w:pPr>
            <w:r>
              <w:rPr>
                <w:b/>
                <w:bCs/>
              </w:rPr>
              <w:t xml:space="preserve">Risk avoidance </w:t>
            </w:r>
          </w:p>
        </w:tc>
      </w:tr>
      <w:tr w:rsidR="003F223C" w14:paraId="158F49A3" w14:textId="77777777" w:rsidTr="00C62B32">
        <w:tc>
          <w:tcPr>
            <w:tcW w:w="9061" w:type="dxa"/>
            <w:gridSpan w:val="5"/>
          </w:tcPr>
          <w:p w14:paraId="5DA81DE2" w14:textId="77777777" w:rsidR="003F223C" w:rsidRPr="003F223C" w:rsidRDefault="003F223C" w:rsidP="003F223C">
            <w:pPr>
              <w:ind w:left="0"/>
              <w:jc w:val="center"/>
              <w:rPr>
                <w:b/>
                <w:bCs/>
                <w:sz w:val="28"/>
                <w:szCs w:val="28"/>
                <w:u w:val="single"/>
              </w:rPr>
            </w:pPr>
            <w:r w:rsidRPr="003F223C">
              <w:rPr>
                <w:u w:val="single"/>
              </w:rPr>
              <w:t>Distribution Channels</w:t>
            </w:r>
          </w:p>
        </w:tc>
      </w:tr>
      <w:tr w:rsidR="003F223C" w14:paraId="3A332192" w14:textId="77777777" w:rsidTr="00C62B32">
        <w:tc>
          <w:tcPr>
            <w:tcW w:w="1812" w:type="dxa"/>
          </w:tcPr>
          <w:p w14:paraId="3508A039" w14:textId="77777777" w:rsidR="003F223C" w:rsidRDefault="003F223C" w:rsidP="003F223C">
            <w:pPr>
              <w:ind w:left="0"/>
              <w:jc w:val="center"/>
              <w:rPr>
                <w:b/>
                <w:bCs/>
                <w:sz w:val="28"/>
                <w:szCs w:val="28"/>
              </w:rPr>
            </w:pPr>
            <w:r w:rsidRPr="003F223C">
              <w:rPr>
                <w:b/>
                <w:bCs/>
              </w:rPr>
              <w:t>L</w:t>
            </w:r>
            <w:r>
              <w:rPr>
                <w:b/>
                <w:bCs/>
              </w:rPr>
              <w:t xml:space="preserve">imited access </w:t>
            </w:r>
          </w:p>
        </w:tc>
        <w:tc>
          <w:tcPr>
            <w:tcW w:w="1812" w:type="dxa"/>
          </w:tcPr>
          <w:p w14:paraId="26F7726A" w14:textId="77777777" w:rsidR="003F223C" w:rsidRDefault="003F223C" w:rsidP="003F223C">
            <w:pPr>
              <w:ind w:left="0"/>
              <w:jc w:val="center"/>
              <w:rPr>
                <w:b/>
                <w:bCs/>
                <w:sz w:val="28"/>
                <w:szCs w:val="28"/>
              </w:rPr>
            </w:pPr>
          </w:p>
        </w:tc>
        <w:tc>
          <w:tcPr>
            <w:tcW w:w="1812" w:type="dxa"/>
          </w:tcPr>
          <w:p w14:paraId="7DED1FD3" w14:textId="77777777" w:rsidR="003F223C" w:rsidRDefault="003F223C" w:rsidP="003F223C">
            <w:pPr>
              <w:ind w:left="0"/>
              <w:jc w:val="center"/>
              <w:rPr>
                <w:b/>
                <w:bCs/>
                <w:sz w:val="28"/>
                <w:szCs w:val="28"/>
              </w:rPr>
            </w:pPr>
          </w:p>
        </w:tc>
        <w:tc>
          <w:tcPr>
            <w:tcW w:w="1812" w:type="dxa"/>
          </w:tcPr>
          <w:p w14:paraId="0CEAE142" w14:textId="77777777" w:rsidR="003F223C" w:rsidRDefault="003F223C" w:rsidP="003F223C">
            <w:pPr>
              <w:ind w:left="0"/>
              <w:jc w:val="center"/>
              <w:rPr>
                <w:b/>
                <w:bCs/>
                <w:sz w:val="28"/>
                <w:szCs w:val="28"/>
              </w:rPr>
            </w:pPr>
          </w:p>
        </w:tc>
        <w:tc>
          <w:tcPr>
            <w:tcW w:w="1813" w:type="dxa"/>
          </w:tcPr>
          <w:p w14:paraId="29D06157" w14:textId="77777777" w:rsidR="003F223C" w:rsidRDefault="003F223C" w:rsidP="003F223C">
            <w:pPr>
              <w:ind w:left="0"/>
              <w:jc w:val="center"/>
              <w:rPr>
                <w:b/>
                <w:bCs/>
                <w:sz w:val="28"/>
                <w:szCs w:val="28"/>
              </w:rPr>
            </w:pPr>
            <w:r>
              <w:rPr>
                <w:b/>
                <w:bCs/>
              </w:rPr>
              <w:t>Easy access</w:t>
            </w:r>
          </w:p>
        </w:tc>
      </w:tr>
      <w:tr w:rsidR="003F223C" w14:paraId="2C1B64BE" w14:textId="77777777" w:rsidTr="00C62B32">
        <w:tc>
          <w:tcPr>
            <w:tcW w:w="9061" w:type="dxa"/>
            <w:gridSpan w:val="5"/>
          </w:tcPr>
          <w:p w14:paraId="569BA525" w14:textId="77777777" w:rsidR="003F223C" w:rsidRPr="003F223C" w:rsidRDefault="003F223C" w:rsidP="003F223C">
            <w:pPr>
              <w:ind w:left="0"/>
              <w:jc w:val="center"/>
              <w:rPr>
                <w:b/>
                <w:bCs/>
                <w:u w:val="single"/>
              </w:rPr>
            </w:pPr>
            <w:r w:rsidRPr="003F223C">
              <w:rPr>
                <w:u w:val="single"/>
              </w:rPr>
              <w:t>Government Policy</w:t>
            </w:r>
          </w:p>
        </w:tc>
      </w:tr>
      <w:tr w:rsidR="003F223C" w14:paraId="2EA5D317" w14:textId="77777777" w:rsidTr="00C62B32">
        <w:tc>
          <w:tcPr>
            <w:tcW w:w="1812" w:type="dxa"/>
          </w:tcPr>
          <w:p w14:paraId="31F4A0DF" w14:textId="77777777" w:rsidR="003F223C" w:rsidRPr="003F223C" w:rsidRDefault="003F223C" w:rsidP="003F223C">
            <w:pPr>
              <w:ind w:left="0"/>
              <w:jc w:val="center"/>
              <w:rPr>
                <w:b/>
                <w:bCs/>
              </w:rPr>
            </w:pPr>
            <w:r>
              <w:rPr>
                <w:b/>
                <w:bCs/>
              </w:rPr>
              <w:t>Subsidies</w:t>
            </w:r>
          </w:p>
        </w:tc>
        <w:tc>
          <w:tcPr>
            <w:tcW w:w="1812" w:type="dxa"/>
          </w:tcPr>
          <w:p w14:paraId="10CC484E" w14:textId="77777777" w:rsidR="003F223C" w:rsidRDefault="003F223C" w:rsidP="003F223C">
            <w:pPr>
              <w:ind w:left="0"/>
              <w:jc w:val="center"/>
              <w:rPr>
                <w:b/>
                <w:bCs/>
                <w:sz w:val="28"/>
                <w:szCs w:val="28"/>
              </w:rPr>
            </w:pPr>
          </w:p>
        </w:tc>
        <w:tc>
          <w:tcPr>
            <w:tcW w:w="1812" w:type="dxa"/>
          </w:tcPr>
          <w:p w14:paraId="07FEA225" w14:textId="77777777" w:rsidR="003F223C" w:rsidRDefault="003F223C" w:rsidP="003F223C">
            <w:pPr>
              <w:ind w:left="0"/>
              <w:jc w:val="center"/>
              <w:rPr>
                <w:b/>
                <w:bCs/>
                <w:sz w:val="28"/>
                <w:szCs w:val="28"/>
              </w:rPr>
            </w:pPr>
          </w:p>
        </w:tc>
        <w:tc>
          <w:tcPr>
            <w:tcW w:w="1812" w:type="dxa"/>
          </w:tcPr>
          <w:p w14:paraId="4E9F15B2" w14:textId="77777777" w:rsidR="003F223C" w:rsidRDefault="003F223C" w:rsidP="003F223C">
            <w:pPr>
              <w:ind w:left="0"/>
              <w:jc w:val="center"/>
              <w:rPr>
                <w:b/>
                <w:bCs/>
                <w:sz w:val="28"/>
                <w:szCs w:val="28"/>
              </w:rPr>
            </w:pPr>
          </w:p>
        </w:tc>
        <w:tc>
          <w:tcPr>
            <w:tcW w:w="1813" w:type="dxa"/>
          </w:tcPr>
          <w:p w14:paraId="4810269B" w14:textId="77777777" w:rsidR="003F223C" w:rsidRPr="003F223C" w:rsidRDefault="003F223C" w:rsidP="003F223C">
            <w:pPr>
              <w:ind w:left="0"/>
              <w:jc w:val="center"/>
              <w:rPr>
                <w:b/>
                <w:bCs/>
              </w:rPr>
            </w:pPr>
            <w:r>
              <w:rPr>
                <w:b/>
                <w:bCs/>
              </w:rPr>
              <w:t>regulations</w:t>
            </w:r>
          </w:p>
        </w:tc>
      </w:tr>
      <w:tr w:rsidR="003F223C" w14:paraId="511A06B0" w14:textId="77777777" w:rsidTr="00C62B32">
        <w:tc>
          <w:tcPr>
            <w:tcW w:w="9061" w:type="dxa"/>
            <w:gridSpan w:val="5"/>
          </w:tcPr>
          <w:p w14:paraId="2A9FD779" w14:textId="77777777" w:rsidR="003F223C" w:rsidRPr="003F223C" w:rsidRDefault="003F223C" w:rsidP="003F223C">
            <w:pPr>
              <w:ind w:left="0"/>
              <w:jc w:val="center"/>
              <w:rPr>
                <w:u w:val="single"/>
              </w:rPr>
            </w:pPr>
            <w:r w:rsidRPr="003F223C">
              <w:rPr>
                <w:u w:val="single"/>
              </w:rPr>
              <w:t>Anticipated Incumbent Response</w:t>
            </w:r>
          </w:p>
        </w:tc>
      </w:tr>
      <w:tr w:rsidR="003F223C" w14:paraId="5A0C415D" w14:textId="77777777" w:rsidTr="00C62B32">
        <w:tc>
          <w:tcPr>
            <w:tcW w:w="1812" w:type="dxa"/>
          </w:tcPr>
          <w:p w14:paraId="6E7F5D95" w14:textId="77777777" w:rsidR="003F223C" w:rsidRDefault="003F223C" w:rsidP="003F223C">
            <w:pPr>
              <w:ind w:left="0"/>
              <w:jc w:val="center"/>
              <w:rPr>
                <w:b/>
                <w:bCs/>
              </w:rPr>
            </w:pPr>
            <w:r>
              <w:rPr>
                <w:b/>
                <w:bCs/>
              </w:rPr>
              <w:t xml:space="preserve">Welcoming </w:t>
            </w:r>
          </w:p>
        </w:tc>
        <w:tc>
          <w:tcPr>
            <w:tcW w:w="1812" w:type="dxa"/>
          </w:tcPr>
          <w:p w14:paraId="2736208E" w14:textId="77777777" w:rsidR="003F223C" w:rsidRDefault="003F223C" w:rsidP="003F223C">
            <w:pPr>
              <w:ind w:left="0"/>
              <w:jc w:val="center"/>
              <w:rPr>
                <w:b/>
                <w:bCs/>
                <w:sz w:val="28"/>
                <w:szCs w:val="28"/>
              </w:rPr>
            </w:pPr>
          </w:p>
        </w:tc>
        <w:tc>
          <w:tcPr>
            <w:tcW w:w="1812" w:type="dxa"/>
          </w:tcPr>
          <w:p w14:paraId="628BB223" w14:textId="77777777" w:rsidR="003F223C" w:rsidRDefault="003F223C" w:rsidP="003F223C">
            <w:pPr>
              <w:ind w:left="0"/>
              <w:jc w:val="center"/>
              <w:rPr>
                <w:b/>
                <w:bCs/>
                <w:sz w:val="28"/>
                <w:szCs w:val="28"/>
              </w:rPr>
            </w:pPr>
          </w:p>
        </w:tc>
        <w:tc>
          <w:tcPr>
            <w:tcW w:w="1812" w:type="dxa"/>
          </w:tcPr>
          <w:p w14:paraId="243DDEA7" w14:textId="77777777" w:rsidR="003F223C" w:rsidRDefault="003F223C" w:rsidP="003F223C">
            <w:pPr>
              <w:ind w:left="0"/>
              <w:jc w:val="center"/>
              <w:rPr>
                <w:b/>
                <w:bCs/>
                <w:sz w:val="28"/>
                <w:szCs w:val="28"/>
              </w:rPr>
            </w:pPr>
          </w:p>
        </w:tc>
        <w:tc>
          <w:tcPr>
            <w:tcW w:w="1813" w:type="dxa"/>
          </w:tcPr>
          <w:p w14:paraId="749382C2" w14:textId="77777777" w:rsidR="003F223C" w:rsidRDefault="003F223C" w:rsidP="003F223C">
            <w:pPr>
              <w:ind w:left="0"/>
              <w:jc w:val="center"/>
              <w:rPr>
                <w:b/>
                <w:bCs/>
              </w:rPr>
            </w:pPr>
            <w:r>
              <w:rPr>
                <w:b/>
                <w:bCs/>
              </w:rPr>
              <w:t xml:space="preserve">Retaliatory </w:t>
            </w:r>
          </w:p>
        </w:tc>
      </w:tr>
    </w:tbl>
    <w:p w14:paraId="42FE7E9A" w14:textId="54D779F3" w:rsidR="003F223C" w:rsidRPr="000019CB" w:rsidRDefault="000019CB" w:rsidP="000019CB">
      <w:pPr>
        <w:spacing w:after="160" w:line="259" w:lineRule="auto"/>
        <w:ind w:left="0"/>
        <w:jc w:val="left"/>
        <w:rPr>
          <w:b/>
          <w:bCs/>
          <w:sz w:val="16"/>
          <w:szCs w:val="16"/>
        </w:rPr>
      </w:pPr>
      <w:r w:rsidRPr="00C930E1">
        <w:rPr>
          <w:b/>
          <w:bCs/>
          <w:sz w:val="16"/>
          <w:szCs w:val="16"/>
        </w:rPr>
        <w:t xml:space="preserve">PS: the spider diagrams are formatted from 1 to 5, with 1 representing the lower end of the spectrum and 5 representing the highest one. </w:t>
      </w:r>
    </w:p>
    <w:p w14:paraId="3E537C94" w14:textId="28DEB9D1" w:rsidR="000019CB" w:rsidRDefault="000019CB" w:rsidP="000019CB">
      <w:pPr>
        <w:rPr>
          <w:b/>
          <w:bCs/>
          <w:sz w:val="28"/>
          <w:szCs w:val="28"/>
        </w:rPr>
      </w:pPr>
      <w:r>
        <w:rPr>
          <w:b/>
          <w:bCs/>
          <w:noProof/>
          <w:sz w:val="28"/>
          <w:szCs w:val="28"/>
        </w:rPr>
        <w:drawing>
          <wp:inline distT="0" distB="0" distL="0" distR="0" wp14:anchorId="038B541B" wp14:editId="733D76D7">
            <wp:extent cx="5772150" cy="3781425"/>
            <wp:effectExtent l="0" t="0" r="0" b="9525"/>
            <wp:docPr id="1308572597" name="Gra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345AD72" w14:textId="77777777" w:rsidR="000019CB" w:rsidRDefault="000019CB" w:rsidP="00686750">
      <w:pPr>
        <w:ind w:left="0"/>
        <w:rPr>
          <w:b/>
          <w:bCs/>
          <w:sz w:val="28"/>
          <w:szCs w:val="28"/>
        </w:rPr>
      </w:pPr>
    </w:p>
    <w:tbl>
      <w:tblPr>
        <w:tblStyle w:val="Grigliatabella"/>
        <w:tblW w:w="0" w:type="auto"/>
        <w:tblInd w:w="567" w:type="dxa"/>
        <w:tblLook w:val="04A0" w:firstRow="1" w:lastRow="0" w:firstColumn="1" w:lastColumn="0" w:noHBand="0" w:noVBand="1"/>
      </w:tblPr>
      <w:tblGrid>
        <w:gridCol w:w="1795"/>
        <w:gridCol w:w="1723"/>
        <w:gridCol w:w="1723"/>
        <w:gridCol w:w="1723"/>
        <w:gridCol w:w="2097"/>
      </w:tblGrid>
      <w:tr w:rsidR="00F91F6B" w14:paraId="7FD8569D" w14:textId="77777777" w:rsidTr="00F91F6B">
        <w:tc>
          <w:tcPr>
            <w:tcW w:w="9061" w:type="dxa"/>
            <w:gridSpan w:val="5"/>
            <w:shd w:val="clear" w:color="auto" w:fill="00B0F0"/>
          </w:tcPr>
          <w:p w14:paraId="6A9561DD" w14:textId="546BDD30" w:rsidR="00F91F6B" w:rsidRPr="001516D0" w:rsidRDefault="00F91F6B" w:rsidP="00C62B32">
            <w:pPr>
              <w:ind w:left="0"/>
              <w:jc w:val="center"/>
              <w:rPr>
                <w:b/>
                <w:bCs/>
                <w:sz w:val="28"/>
                <w:szCs w:val="28"/>
              </w:rPr>
            </w:pPr>
            <w:r>
              <w:rPr>
                <w:b/>
                <w:bCs/>
                <w:sz w:val="28"/>
                <w:szCs w:val="28"/>
              </w:rPr>
              <w:t>Industry rivalry</w:t>
            </w:r>
          </w:p>
        </w:tc>
      </w:tr>
      <w:tr w:rsidR="00F91F6B" w14:paraId="25A1C834" w14:textId="77777777" w:rsidTr="007468B2">
        <w:tc>
          <w:tcPr>
            <w:tcW w:w="9061" w:type="dxa"/>
            <w:gridSpan w:val="5"/>
            <w:shd w:val="clear" w:color="auto" w:fill="FFFFFF" w:themeFill="background1"/>
          </w:tcPr>
          <w:p w14:paraId="297FC47D" w14:textId="73F4B1D8" w:rsidR="00F91F6B" w:rsidRPr="00F91F6B" w:rsidRDefault="007468B2" w:rsidP="00C62B32">
            <w:pPr>
              <w:ind w:left="0"/>
              <w:jc w:val="center"/>
              <w:rPr>
                <w:highlight w:val="yellow"/>
                <w:u w:val="single"/>
              </w:rPr>
            </w:pPr>
            <w:r>
              <w:t xml:space="preserve">Existing Competitors </w:t>
            </w:r>
          </w:p>
        </w:tc>
      </w:tr>
      <w:tr w:rsidR="00F91F6B" w14:paraId="1F412D56" w14:textId="77777777" w:rsidTr="00686750">
        <w:tc>
          <w:tcPr>
            <w:tcW w:w="1795" w:type="dxa"/>
            <w:shd w:val="clear" w:color="auto" w:fill="FFFFFF" w:themeFill="background1"/>
          </w:tcPr>
          <w:p w14:paraId="4A8A2FBB" w14:textId="2F3B9A0A" w:rsidR="00F91F6B" w:rsidRPr="00F91F6B" w:rsidRDefault="007468B2" w:rsidP="00C62B32">
            <w:pPr>
              <w:ind w:left="0"/>
              <w:jc w:val="center"/>
              <w:rPr>
                <w:b/>
                <w:bCs/>
                <w:highlight w:val="yellow"/>
              </w:rPr>
            </w:pPr>
            <w:r w:rsidRPr="007468B2">
              <w:rPr>
                <w:b/>
                <w:bCs/>
              </w:rPr>
              <w:t>Few/Leader</w:t>
            </w:r>
          </w:p>
        </w:tc>
        <w:tc>
          <w:tcPr>
            <w:tcW w:w="1723" w:type="dxa"/>
            <w:shd w:val="clear" w:color="auto" w:fill="FFFFFF" w:themeFill="background1"/>
          </w:tcPr>
          <w:p w14:paraId="325605A8" w14:textId="77777777" w:rsidR="00F91F6B" w:rsidRPr="00F91F6B" w:rsidRDefault="00F91F6B" w:rsidP="00C62B32">
            <w:pPr>
              <w:ind w:left="0"/>
              <w:jc w:val="center"/>
              <w:rPr>
                <w:b/>
                <w:bCs/>
                <w:highlight w:val="yellow"/>
              </w:rPr>
            </w:pPr>
          </w:p>
        </w:tc>
        <w:tc>
          <w:tcPr>
            <w:tcW w:w="1723" w:type="dxa"/>
            <w:shd w:val="clear" w:color="auto" w:fill="FFFFFF" w:themeFill="background1"/>
          </w:tcPr>
          <w:p w14:paraId="2923C703" w14:textId="77777777" w:rsidR="00F91F6B" w:rsidRPr="00F91F6B" w:rsidRDefault="00F91F6B" w:rsidP="00C62B32">
            <w:pPr>
              <w:ind w:left="0"/>
              <w:jc w:val="center"/>
              <w:rPr>
                <w:b/>
                <w:bCs/>
                <w:highlight w:val="yellow"/>
              </w:rPr>
            </w:pPr>
          </w:p>
        </w:tc>
        <w:tc>
          <w:tcPr>
            <w:tcW w:w="1723" w:type="dxa"/>
            <w:shd w:val="clear" w:color="auto" w:fill="FFFFFF" w:themeFill="background1"/>
          </w:tcPr>
          <w:p w14:paraId="5C9694C8" w14:textId="77777777" w:rsidR="00F91F6B" w:rsidRPr="00F91F6B" w:rsidRDefault="00F91F6B" w:rsidP="00C62B32">
            <w:pPr>
              <w:ind w:left="0"/>
              <w:jc w:val="center"/>
              <w:rPr>
                <w:b/>
                <w:bCs/>
                <w:highlight w:val="yellow"/>
              </w:rPr>
            </w:pPr>
          </w:p>
        </w:tc>
        <w:tc>
          <w:tcPr>
            <w:tcW w:w="2097" w:type="dxa"/>
            <w:shd w:val="clear" w:color="auto" w:fill="FFFFFF" w:themeFill="background1"/>
          </w:tcPr>
          <w:p w14:paraId="17D69C91" w14:textId="5FDDA271" w:rsidR="00F91F6B" w:rsidRPr="00F91F6B" w:rsidRDefault="007468B2" w:rsidP="00C62B32">
            <w:pPr>
              <w:ind w:left="0"/>
              <w:jc w:val="center"/>
              <w:rPr>
                <w:b/>
                <w:bCs/>
                <w:highlight w:val="yellow"/>
              </w:rPr>
            </w:pPr>
            <w:r w:rsidRPr="007468B2">
              <w:rPr>
                <w:b/>
                <w:bCs/>
              </w:rPr>
              <w:t>Numerous/Balanced</w:t>
            </w:r>
          </w:p>
        </w:tc>
      </w:tr>
      <w:tr w:rsidR="00F91F6B" w14:paraId="7CC3C480" w14:textId="77777777" w:rsidTr="007468B2">
        <w:tc>
          <w:tcPr>
            <w:tcW w:w="9061" w:type="dxa"/>
            <w:gridSpan w:val="5"/>
            <w:shd w:val="clear" w:color="auto" w:fill="FFFFFF" w:themeFill="background1"/>
          </w:tcPr>
          <w:p w14:paraId="2274FABC" w14:textId="0B6B09C1" w:rsidR="00F91F6B" w:rsidRPr="00F91F6B" w:rsidRDefault="007468B2" w:rsidP="00C62B32">
            <w:pPr>
              <w:ind w:left="0"/>
              <w:jc w:val="center"/>
              <w:rPr>
                <w:highlight w:val="yellow"/>
                <w:u w:val="single"/>
              </w:rPr>
            </w:pPr>
            <w:r w:rsidRPr="007468B2">
              <w:rPr>
                <w:u w:val="single"/>
              </w:rPr>
              <w:t xml:space="preserve">Industry Growth </w:t>
            </w:r>
          </w:p>
        </w:tc>
      </w:tr>
      <w:tr w:rsidR="00F91F6B" w14:paraId="2314A54B" w14:textId="77777777" w:rsidTr="00686750">
        <w:tc>
          <w:tcPr>
            <w:tcW w:w="1795" w:type="dxa"/>
            <w:shd w:val="clear" w:color="auto" w:fill="FFFFFF" w:themeFill="background1"/>
          </w:tcPr>
          <w:p w14:paraId="7D566A44" w14:textId="4BFD8AE5" w:rsidR="00F91F6B" w:rsidRPr="00F91F6B" w:rsidRDefault="007468B2" w:rsidP="00C62B32">
            <w:pPr>
              <w:ind w:left="0"/>
              <w:jc w:val="center"/>
              <w:rPr>
                <w:b/>
                <w:bCs/>
                <w:highlight w:val="yellow"/>
              </w:rPr>
            </w:pPr>
            <w:r w:rsidRPr="007468B2">
              <w:rPr>
                <w:u w:val="single"/>
              </w:rPr>
              <w:t>Slow/Negative</w:t>
            </w:r>
          </w:p>
        </w:tc>
        <w:tc>
          <w:tcPr>
            <w:tcW w:w="1723" w:type="dxa"/>
            <w:shd w:val="clear" w:color="auto" w:fill="FFFFFF" w:themeFill="background1"/>
          </w:tcPr>
          <w:p w14:paraId="7737B7FF" w14:textId="77777777" w:rsidR="00F91F6B" w:rsidRPr="00F91F6B" w:rsidRDefault="00F91F6B" w:rsidP="00C62B32">
            <w:pPr>
              <w:ind w:left="0"/>
              <w:jc w:val="center"/>
              <w:rPr>
                <w:b/>
                <w:bCs/>
                <w:highlight w:val="yellow"/>
              </w:rPr>
            </w:pPr>
          </w:p>
        </w:tc>
        <w:tc>
          <w:tcPr>
            <w:tcW w:w="1723" w:type="dxa"/>
            <w:shd w:val="clear" w:color="auto" w:fill="FFFFFF" w:themeFill="background1"/>
          </w:tcPr>
          <w:p w14:paraId="2F9AB73C" w14:textId="77777777" w:rsidR="00F91F6B" w:rsidRPr="00F91F6B" w:rsidRDefault="00F91F6B" w:rsidP="00C62B32">
            <w:pPr>
              <w:ind w:left="0"/>
              <w:jc w:val="center"/>
              <w:rPr>
                <w:b/>
                <w:bCs/>
                <w:highlight w:val="yellow"/>
              </w:rPr>
            </w:pPr>
          </w:p>
        </w:tc>
        <w:tc>
          <w:tcPr>
            <w:tcW w:w="1723" w:type="dxa"/>
            <w:shd w:val="clear" w:color="auto" w:fill="FFFFFF" w:themeFill="background1"/>
          </w:tcPr>
          <w:p w14:paraId="5D744D8A" w14:textId="77777777" w:rsidR="00F91F6B" w:rsidRPr="00F91F6B" w:rsidRDefault="00F91F6B" w:rsidP="00C62B32">
            <w:pPr>
              <w:ind w:left="0"/>
              <w:jc w:val="center"/>
              <w:rPr>
                <w:b/>
                <w:bCs/>
                <w:highlight w:val="yellow"/>
              </w:rPr>
            </w:pPr>
          </w:p>
        </w:tc>
        <w:tc>
          <w:tcPr>
            <w:tcW w:w="2097" w:type="dxa"/>
            <w:shd w:val="clear" w:color="auto" w:fill="FFFFFF" w:themeFill="background1"/>
          </w:tcPr>
          <w:p w14:paraId="51CF91AE" w14:textId="77777777" w:rsidR="00F91F6B" w:rsidRPr="00F91F6B" w:rsidRDefault="00F91F6B" w:rsidP="00C62B32">
            <w:pPr>
              <w:ind w:left="0"/>
              <w:jc w:val="center"/>
              <w:rPr>
                <w:b/>
                <w:bCs/>
                <w:highlight w:val="yellow"/>
              </w:rPr>
            </w:pPr>
            <w:r w:rsidRPr="00F91F6B">
              <w:rPr>
                <w:b/>
                <w:bCs/>
              </w:rPr>
              <w:t>High</w:t>
            </w:r>
          </w:p>
        </w:tc>
      </w:tr>
      <w:tr w:rsidR="00F91F6B" w14:paraId="64B225AE" w14:textId="77777777" w:rsidTr="007468B2">
        <w:tc>
          <w:tcPr>
            <w:tcW w:w="9061" w:type="dxa"/>
            <w:gridSpan w:val="5"/>
            <w:shd w:val="clear" w:color="auto" w:fill="FFFFFF" w:themeFill="background1"/>
          </w:tcPr>
          <w:p w14:paraId="6A15E2FE" w14:textId="36A98AE6" w:rsidR="00F91F6B" w:rsidRPr="00F91F6B" w:rsidRDefault="007468B2" w:rsidP="00C62B32">
            <w:pPr>
              <w:ind w:left="0"/>
              <w:jc w:val="center"/>
              <w:rPr>
                <w:b/>
                <w:bCs/>
                <w:sz w:val="28"/>
                <w:szCs w:val="28"/>
                <w:highlight w:val="yellow"/>
                <w:u w:val="single"/>
              </w:rPr>
            </w:pPr>
            <w:r w:rsidRPr="007468B2">
              <w:rPr>
                <w:u w:val="single"/>
              </w:rPr>
              <w:t xml:space="preserve">Fixed and/or Storage Costs </w:t>
            </w:r>
          </w:p>
        </w:tc>
      </w:tr>
      <w:tr w:rsidR="00F91F6B" w14:paraId="47EE4446" w14:textId="77777777" w:rsidTr="00686750">
        <w:tc>
          <w:tcPr>
            <w:tcW w:w="1795" w:type="dxa"/>
            <w:shd w:val="clear" w:color="auto" w:fill="FFFFFF" w:themeFill="background1"/>
          </w:tcPr>
          <w:p w14:paraId="215C6445" w14:textId="239CC9CF" w:rsidR="00F91F6B" w:rsidRPr="00F91F6B" w:rsidRDefault="007468B2" w:rsidP="00C62B32">
            <w:pPr>
              <w:ind w:left="0"/>
              <w:jc w:val="center"/>
              <w:rPr>
                <w:b/>
                <w:bCs/>
                <w:highlight w:val="yellow"/>
              </w:rPr>
            </w:pPr>
            <w:r w:rsidRPr="007468B2">
              <w:rPr>
                <w:b/>
                <w:bCs/>
              </w:rPr>
              <w:t>Low</w:t>
            </w:r>
          </w:p>
        </w:tc>
        <w:tc>
          <w:tcPr>
            <w:tcW w:w="1723" w:type="dxa"/>
            <w:shd w:val="clear" w:color="auto" w:fill="FFFFFF" w:themeFill="background1"/>
          </w:tcPr>
          <w:p w14:paraId="707F7FA8" w14:textId="77777777" w:rsidR="00F91F6B" w:rsidRPr="00F91F6B" w:rsidRDefault="00F91F6B" w:rsidP="00C62B32">
            <w:pPr>
              <w:ind w:left="0"/>
              <w:jc w:val="center"/>
              <w:rPr>
                <w:b/>
                <w:bCs/>
                <w:highlight w:val="yellow"/>
              </w:rPr>
            </w:pPr>
          </w:p>
        </w:tc>
        <w:tc>
          <w:tcPr>
            <w:tcW w:w="1723" w:type="dxa"/>
            <w:shd w:val="clear" w:color="auto" w:fill="FFFFFF" w:themeFill="background1"/>
          </w:tcPr>
          <w:p w14:paraId="66515301" w14:textId="77777777" w:rsidR="00F91F6B" w:rsidRPr="00F91F6B" w:rsidRDefault="00F91F6B" w:rsidP="00C62B32">
            <w:pPr>
              <w:ind w:left="0"/>
              <w:jc w:val="center"/>
              <w:rPr>
                <w:b/>
                <w:bCs/>
                <w:highlight w:val="yellow"/>
              </w:rPr>
            </w:pPr>
          </w:p>
        </w:tc>
        <w:tc>
          <w:tcPr>
            <w:tcW w:w="1723" w:type="dxa"/>
            <w:shd w:val="clear" w:color="auto" w:fill="FFFFFF" w:themeFill="background1"/>
          </w:tcPr>
          <w:p w14:paraId="58EA3AAF" w14:textId="77777777" w:rsidR="00F91F6B" w:rsidRPr="00F91F6B" w:rsidRDefault="00F91F6B" w:rsidP="00C62B32">
            <w:pPr>
              <w:ind w:left="0"/>
              <w:jc w:val="center"/>
              <w:rPr>
                <w:b/>
                <w:bCs/>
                <w:highlight w:val="yellow"/>
              </w:rPr>
            </w:pPr>
          </w:p>
        </w:tc>
        <w:tc>
          <w:tcPr>
            <w:tcW w:w="2097" w:type="dxa"/>
            <w:shd w:val="clear" w:color="auto" w:fill="FFFFFF" w:themeFill="background1"/>
          </w:tcPr>
          <w:p w14:paraId="2CDA25F0" w14:textId="214DE7AB" w:rsidR="00F91F6B" w:rsidRPr="00F91F6B" w:rsidRDefault="007468B2" w:rsidP="00C62B32">
            <w:pPr>
              <w:ind w:left="0"/>
              <w:jc w:val="center"/>
              <w:rPr>
                <w:b/>
                <w:bCs/>
              </w:rPr>
            </w:pPr>
            <w:r w:rsidRPr="007468B2">
              <w:rPr>
                <w:b/>
                <w:bCs/>
              </w:rPr>
              <w:t>High</w:t>
            </w:r>
          </w:p>
        </w:tc>
      </w:tr>
      <w:tr w:rsidR="00F91F6B" w14:paraId="091EF818" w14:textId="77777777" w:rsidTr="007468B2">
        <w:tc>
          <w:tcPr>
            <w:tcW w:w="9061" w:type="dxa"/>
            <w:gridSpan w:val="5"/>
            <w:shd w:val="clear" w:color="auto" w:fill="FFFFFF" w:themeFill="background1"/>
          </w:tcPr>
          <w:p w14:paraId="1ABE1456" w14:textId="35E0C08F" w:rsidR="00F91F6B" w:rsidRPr="007468B2" w:rsidRDefault="007468B2" w:rsidP="007468B2">
            <w:pPr>
              <w:ind w:left="0"/>
              <w:jc w:val="center"/>
              <w:rPr>
                <w:highlight w:val="yellow"/>
                <w:u w:val="single"/>
              </w:rPr>
            </w:pPr>
            <w:r w:rsidRPr="007468B2">
              <w:rPr>
                <w:u w:val="single"/>
              </w:rPr>
              <w:t>High Product Differentiation Low</w:t>
            </w:r>
          </w:p>
        </w:tc>
      </w:tr>
      <w:tr w:rsidR="00F91F6B" w14:paraId="5AEA20C3" w14:textId="77777777" w:rsidTr="00686750">
        <w:tc>
          <w:tcPr>
            <w:tcW w:w="1795" w:type="dxa"/>
            <w:shd w:val="clear" w:color="auto" w:fill="FFFFFF" w:themeFill="background1"/>
          </w:tcPr>
          <w:p w14:paraId="042063D3" w14:textId="045C97CE" w:rsidR="00F91F6B" w:rsidRPr="00F91F6B" w:rsidRDefault="007468B2" w:rsidP="00C62B32">
            <w:pPr>
              <w:ind w:left="0"/>
              <w:jc w:val="center"/>
              <w:rPr>
                <w:b/>
                <w:bCs/>
              </w:rPr>
            </w:pPr>
            <w:r>
              <w:rPr>
                <w:b/>
                <w:bCs/>
              </w:rPr>
              <w:t>Low</w:t>
            </w:r>
          </w:p>
        </w:tc>
        <w:tc>
          <w:tcPr>
            <w:tcW w:w="1723" w:type="dxa"/>
            <w:shd w:val="clear" w:color="auto" w:fill="FFFFFF" w:themeFill="background1"/>
          </w:tcPr>
          <w:p w14:paraId="69A2447B" w14:textId="77777777" w:rsidR="00F91F6B" w:rsidRPr="00F91F6B" w:rsidRDefault="00F91F6B" w:rsidP="00C62B32">
            <w:pPr>
              <w:ind w:left="0"/>
              <w:jc w:val="center"/>
              <w:rPr>
                <w:b/>
                <w:bCs/>
                <w:highlight w:val="yellow"/>
              </w:rPr>
            </w:pPr>
          </w:p>
        </w:tc>
        <w:tc>
          <w:tcPr>
            <w:tcW w:w="1723" w:type="dxa"/>
            <w:shd w:val="clear" w:color="auto" w:fill="FFFFFF" w:themeFill="background1"/>
          </w:tcPr>
          <w:p w14:paraId="112A10AE" w14:textId="77777777" w:rsidR="00F91F6B" w:rsidRPr="00F91F6B" w:rsidRDefault="00F91F6B" w:rsidP="00C62B32">
            <w:pPr>
              <w:ind w:left="0"/>
              <w:jc w:val="center"/>
              <w:rPr>
                <w:b/>
                <w:bCs/>
                <w:highlight w:val="yellow"/>
              </w:rPr>
            </w:pPr>
          </w:p>
        </w:tc>
        <w:tc>
          <w:tcPr>
            <w:tcW w:w="1723" w:type="dxa"/>
            <w:shd w:val="clear" w:color="auto" w:fill="FFFFFF" w:themeFill="background1"/>
          </w:tcPr>
          <w:p w14:paraId="15CEAF91" w14:textId="77777777" w:rsidR="00F91F6B" w:rsidRPr="00F91F6B" w:rsidRDefault="00F91F6B" w:rsidP="00C62B32">
            <w:pPr>
              <w:ind w:left="0"/>
              <w:jc w:val="center"/>
              <w:rPr>
                <w:b/>
                <w:bCs/>
                <w:highlight w:val="yellow"/>
              </w:rPr>
            </w:pPr>
          </w:p>
        </w:tc>
        <w:tc>
          <w:tcPr>
            <w:tcW w:w="2097" w:type="dxa"/>
            <w:shd w:val="clear" w:color="auto" w:fill="FFFFFF" w:themeFill="background1"/>
          </w:tcPr>
          <w:p w14:paraId="353204AD" w14:textId="63F6133C" w:rsidR="00F91F6B" w:rsidRPr="00F91F6B" w:rsidRDefault="00F91F6B" w:rsidP="00C62B32">
            <w:pPr>
              <w:ind w:left="0"/>
              <w:jc w:val="center"/>
              <w:rPr>
                <w:b/>
                <w:bCs/>
                <w:highlight w:val="yellow"/>
              </w:rPr>
            </w:pPr>
            <w:r w:rsidRPr="00F91F6B">
              <w:rPr>
                <w:b/>
                <w:bCs/>
              </w:rPr>
              <w:t>High</w:t>
            </w:r>
          </w:p>
        </w:tc>
      </w:tr>
      <w:tr w:rsidR="00F91F6B" w14:paraId="533572E4" w14:textId="77777777" w:rsidTr="007468B2">
        <w:tc>
          <w:tcPr>
            <w:tcW w:w="9061" w:type="dxa"/>
            <w:gridSpan w:val="5"/>
            <w:shd w:val="clear" w:color="auto" w:fill="FFFFFF" w:themeFill="background1"/>
          </w:tcPr>
          <w:p w14:paraId="62F7B05B" w14:textId="3229D8C6" w:rsidR="00F91F6B" w:rsidRPr="00F91F6B" w:rsidRDefault="007468B2" w:rsidP="00C62B32">
            <w:pPr>
              <w:ind w:left="0"/>
              <w:jc w:val="center"/>
              <w:rPr>
                <w:b/>
                <w:bCs/>
                <w:sz w:val="28"/>
                <w:szCs w:val="28"/>
                <w:u w:val="single"/>
              </w:rPr>
            </w:pPr>
            <w:r w:rsidRPr="007468B2">
              <w:rPr>
                <w:u w:val="single"/>
              </w:rPr>
              <w:t xml:space="preserve">Switching Costs </w:t>
            </w:r>
          </w:p>
        </w:tc>
      </w:tr>
      <w:tr w:rsidR="00F91F6B" w14:paraId="067F9711" w14:textId="77777777" w:rsidTr="00686750">
        <w:tc>
          <w:tcPr>
            <w:tcW w:w="1795" w:type="dxa"/>
            <w:shd w:val="clear" w:color="auto" w:fill="FFFFFF" w:themeFill="background1"/>
          </w:tcPr>
          <w:p w14:paraId="44857AE1" w14:textId="77777777" w:rsidR="00F91F6B" w:rsidRPr="00F91F6B" w:rsidRDefault="00F91F6B" w:rsidP="00C62B32">
            <w:pPr>
              <w:ind w:left="0"/>
              <w:jc w:val="center"/>
              <w:rPr>
                <w:b/>
                <w:bCs/>
              </w:rPr>
            </w:pPr>
            <w:r w:rsidRPr="00F91F6B">
              <w:rPr>
                <w:b/>
                <w:bCs/>
              </w:rPr>
              <w:t>Low</w:t>
            </w:r>
          </w:p>
        </w:tc>
        <w:tc>
          <w:tcPr>
            <w:tcW w:w="1723" w:type="dxa"/>
            <w:shd w:val="clear" w:color="auto" w:fill="FFFFFF" w:themeFill="background1"/>
          </w:tcPr>
          <w:p w14:paraId="4FC7F2B6" w14:textId="77777777" w:rsidR="00F91F6B" w:rsidRPr="00F91F6B" w:rsidRDefault="00F91F6B" w:rsidP="00C62B32">
            <w:pPr>
              <w:ind w:left="0"/>
              <w:jc w:val="center"/>
              <w:rPr>
                <w:b/>
                <w:bCs/>
              </w:rPr>
            </w:pPr>
          </w:p>
        </w:tc>
        <w:tc>
          <w:tcPr>
            <w:tcW w:w="1723" w:type="dxa"/>
            <w:shd w:val="clear" w:color="auto" w:fill="FFFFFF" w:themeFill="background1"/>
          </w:tcPr>
          <w:p w14:paraId="44B71C50" w14:textId="77777777" w:rsidR="00F91F6B" w:rsidRPr="00F91F6B" w:rsidRDefault="00F91F6B" w:rsidP="00C62B32">
            <w:pPr>
              <w:ind w:left="0"/>
              <w:jc w:val="center"/>
              <w:rPr>
                <w:b/>
                <w:bCs/>
              </w:rPr>
            </w:pPr>
          </w:p>
        </w:tc>
        <w:tc>
          <w:tcPr>
            <w:tcW w:w="1723" w:type="dxa"/>
            <w:shd w:val="clear" w:color="auto" w:fill="FFFFFF" w:themeFill="background1"/>
          </w:tcPr>
          <w:p w14:paraId="3FC60DFE" w14:textId="77777777" w:rsidR="00F91F6B" w:rsidRPr="00F91F6B" w:rsidRDefault="00F91F6B" w:rsidP="00C62B32">
            <w:pPr>
              <w:ind w:left="0"/>
              <w:jc w:val="center"/>
              <w:rPr>
                <w:b/>
                <w:bCs/>
              </w:rPr>
            </w:pPr>
          </w:p>
        </w:tc>
        <w:tc>
          <w:tcPr>
            <w:tcW w:w="2097" w:type="dxa"/>
            <w:shd w:val="clear" w:color="auto" w:fill="FFFFFF" w:themeFill="background1"/>
          </w:tcPr>
          <w:p w14:paraId="2C139673" w14:textId="77777777" w:rsidR="00F91F6B" w:rsidRPr="00F91F6B" w:rsidRDefault="00F91F6B" w:rsidP="00C62B32">
            <w:pPr>
              <w:ind w:left="0"/>
              <w:jc w:val="center"/>
              <w:rPr>
                <w:b/>
                <w:bCs/>
              </w:rPr>
            </w:pPr>
            <w:r w:rsidRPr="00F91F6B">
              <w:rPr>
                <w:b/>
                <w:bCs/>
              </w:rPr>
              <w:t>High</w:t>
            </w:r>
          </w:p>
        </w:tc>
      </w:tr>
      <w:tr w:rsidR="00F91F6B" w14:paraId="298420E7" w14:textId="77777777" w:rsidTr="007468B2">
        <w:tc>
          <w:tcPr>
            <w:tcW w:w="9061" w:type="dxa"/>
            <w:gridSpan w:val="5"/>
            <w:shd w:val="clear" w:color="auto" w:fill="FFFFFF" w:themeFill="background1"/>
          </w:tcPr>
          <w:p w14:paraId="67D3201F" w14:textId="07C4C42B" w:rsidR="00F91F6B" w:rsidRPr="00F91F6B" w:rsidRDefault="007468B2" w:rsidP="00C62B32">
            <w:pPr>
              <w:ind w:left="0"/>
              <w:jc w:val="center"/>
              <w:rPr>
                <w:b/>
                <w:bCs/>
                <w:sz w:val="28"/>
                <w:szCs w:val="28"/>
                <w:highlight w:val="yellow"/>
                <w:u w:val="single"/>
              </w:rPr>
            </w:pPr>
            <w:r w:rsidRPr="007468B2">
              <w:rPr>
                <w:u w:val="single"/>
              </w:rPr>
              <w:t>Strategic Stakes</w:t>
            </w:r>
          </w:p>
        </w:tc>
      </w:tr>
      <w:tr w:rsidR="00F91F6B" w14:paraId="7D73357D" w14:textId="77777777" w:rsidTr="00686750">
        <w:tc>
          <w:tcPr>
            <w:tcW w:w="1795" w:type="dxa"/>
            <w:shd w:val="clear" w:color="auto" w:fill="FFFFFF" w:themeFill="background1"/>
          </w:tcPr>
          <w:p w14:paraId="4CEEF703" w14:textId="372BF7AF" w:rsidR="00F91F6B" w:rsidRPr="007468B2" w:rsidRDefault="00F91F6B" w:rsidP="00C62B32">
            <w:pPr>
              <w:ind w:left="0"/>
              <w:jc w:val="center"/>
              <w:rPr>
                <w:b/>
                <w:bCs/>
                <w:sz w:val="28"/>
                <w:szCs w:val="28"/>
                <w:highlight w:val="yellow"/>
              </w:rPr>
            </w:pPr>
            <w:r w:rsidRPr="007468B2">
              <w:rPr>
                <w:b/>
                <w:bCs/>
              </w:rPr>
              <w:t xml:space="preserve">Low </w:t>
            </w:r>
          </w:p>
        </w:tc>
        <w:tc>
          <w:tcPr>
            <w:tcW w:w="1723" w:type="dxa"/>
            <w:shd w:val="clear" w:color="auto" w:fill="FFFFFF" w:themeFill="background1"/>
          </w:tcPr>
          <w:p w14:paraId="068717AB" w14:textId="77777777" w:rsidR="00F91F6B" w:rsidRPr="00F91F6B" w:rsidRDefault="00F91F6B" w:rsidP="00C62B32">
            <w:pPr>
              <w:ind w:left="0"/>
              <w:jc w:val="center"/>
              <w:rPr>
                <w:b/>
                <w:bCs/>
                <w:sz w:val="28"/>
                <w:szCs w:val="28"/>
                <w:highlight w:val="yellow"/>
              </w:rPr>
            </w:pPr>
          </w:p>
        </w:tc>
        <w:tc>
          <w:tcPr>
            <w:tcW w:w="1723" w:type="dxa"/>
            <w:shd w:val="clear" w:color="auto" w:fill="FFFFFF" w:themeFill="background1"/>
          </w:tcPr>
          <w:p w14:paraId="07A3ABFA" w14:textId="77777777" w:rsidR="00F91F6B" w:rsidRPr="00F91F6B" w:rsidRDefault="00F91F6B" w:rsidP="00C62B32">
            <w:pPr>
              <w:ind w:left="0"/>
              <w:jc w:val="center"/>
              <w:rPr>
                <w:b/>
                <w:bCs/>
                <w:sz w:val="28"/>
                <w:szCs w:val="28"/>
                <w:highlight w:val="yellow"/>
              </w:rPr>
            </w:pPr>
          </w:p>
        </w:tc>
        <w:tc>
          <w:tcPr>
            <w:tcW w:w="1723" w:type="dxa"/>
            <w:shd w:val="clear" w:color="auto" w:fill="FFFFFF" w:themeFill="background1"/>
          </w:tcPr>
          <w:p w14:paraId="2D0959C8" w14:textId="77777777" w:rsidR="00F91F6B" w:rsidRPr="00F91F6B" w:rsidRDefault="00F91F6B" w:rsidP="00C62B32">
            <w:pPr>
              <w:ind w:left="0"/>
              <w:jc w:val="center"/>
              <w:rPr>
                <w:b/>
                <w:bCs/>
                <w:sz w:val="28"/>
                <w:szCs w:val="28"/>
                <w:highlight w:val="yellow"/>
              </w:rPr>
            </w:pPr>
          </w:p>
        </w:tc>
        <w:tc>
          <w:tcPr>
            <w:tcW w:w="2097" w:type="dxa"/>
            <w:shd w:val="clear" w:color="auto" w:fill="FFFFFF" w:themeFill="background1"/>
          </w:tcPr>
          <w:p w14:paraId="5AC61DD4" w14:textId="51297669" w:rsidR="00F91F6B" w:rsidRPr="007468B2" w:rsidRDefault="00F91F6B" w:rsidP="00C62B32">
            <w:pPr>
              <w:ind w:left="0"/>
              <w:jc w:val="center"/>
              <w:rPr>
                <w:b/>
                <w:bCs/>
                <w:sz w:val="28"/>
                <w:szCs w:val="28"/>
                <w:highlight w:val="yellow"/>
              </w:rPr>
            </w:pPr>
            <w:r w:rsidRPr="007468B2">
              <w:rPr>
                <w:b/>
                <w:bCs/>
              </w:rPr>
              <w:t>High</w:t>
            </w:r>
          </w:p>
        </w:tc>
      </w:tr>
      <w:tr w:rsidR="00F91F6B" w14:paraId="431FCEED" w14:textId="77777777" w:rsidTr="007468B2">
        <w:tc>
          <w:tcPr>
            <w:tcW w:w="9061" w:type="dxa"/>
            <w:gridSpan w:val="5"/>
            <w:shd w:val="clear" w:color="auto" w:fill="FFFFFF" w:themeFill="background1"/>
          </w:tcPr>
          <w:p w14:paraId="47D7F6B1" w14:textId="3E4C2D7A" w:rsidR="00F91F6B" w:rsidRPr="00F91F6B" w:rsidRDefault="007468B2" w:rsidP="00C62B32">
            <w:pPr>
              <w:ind w:left="0"/>
              <w:jc w:val="center"/>
              <w:rPr>
                <w:u w:val="single"/>
              </w:rPr>
            </w:pPr>
            <w:r w:rsidRPr="007468B2">
              <w:rPr>
                <w:u w:val="single"/>
              </w:rPr>
              <w:t xml:space="preserve">Capacity Expansion </w:t>
            </w:r>
          </w:p>
        </w:tc>
      </w:tr>
      <w:tr w:rsidR="00F91F6B" w14:paraId="2F45FC5C" w14:textId="77777777" w:rsidTr="00686750">
        <w:tc>
          <w:tcPr>
            <w:tcW w:w="1795" w:type="dxa"/>
            <w:shd w:val="clear" w:color="auto" w:fill="FFFFFF" w:themeFill="background1"/>
          </w:tcPr>
          <w:p w14:paraId="36521FC8" w14:textId="7069BCFD" w:rsidR="00F91F6B" w:rsidRPr="007468B2" w:rsidRDefault="007468B2" w:rsidP="00C62B32">
            <w:pPr>
              <w:ind w:left="0"/>
              <w:jc w:val="center"/>
              <w:rPr>
                <w:b/>
                <w:bCs/>
              </w:rPr>
            </w:pPr>
            <w:r w:rsidRPr="007468B2">
              <w:rPr>
                <w:b/>
                <w:bCs/>
              </w:rPr>
              <w:t>Small Increments</w:t>
            </w:r>
          </w:p>
        </w:tc>
        <w:tc>
          <w:tcPr>
            <w:tcW w:w="1723" w:type="dxa"/>
            <w:shd w:val="clear" w:color="auto" w:fill="FFFFFF" w:themeFill="background1"/>
          </w:tcPr>
          <w:p w14:paraId="079A12A7" w14:textId="77777777" w:rsidR="00F91F6B" w:rsidRPr="007468B2" w:rsidRDefault="00F91F6B" w:rsidP="00C62B32">
            <w:pPr>
              <w:ind w:left="0"/>
              <w:jc w:val="center"/>
              <w:rPr>
                <w:b/>
                <w:bCs/>
                <w:sz w:val="28"/>
                <w:szCs w:val="28"/>
                <w:highlight w:val="yellow"/>
              </w:rPr>
            </w:pPr>
          </w:p>
        </w:tc>
        <w:tc>
          <w:tcPr>
            <w:tcW w:w="1723" w:type="dxa"/>
            <w:shd w:val="clear" w:color="auto" w:fill="FFFFFF" w:themeFill="background1"/>
          </w:tcPr>
          <w:p w14:paraId="3CCA3FB9" w14:textId="77777777" w:rsidR="00F91F6B" w:rsidRPr="007468B2" w:rsidRDefault="00F91F6B" w:rsidP="00C62B32">
            <w:pPr>
              <w:ind w:left="0"/>
              <w:jc w:val="center"/>
              <w:rPr>
                <w:b/>
                <w:bCs/>
                <w:sz w:val="28"/>
                <w:szCs w:val="28"/>
                <w:highlight w:val="yellow"/>
              </w:rPr>
            </w:pPr>
          </w:p>
        </w:tc>
        <w:tc>
          <w:tcPr>
            <w:tcW w:w="1723" w:type="dxa"/>
            <w:shd w:val="clear" w:color="auto" w:fill="FFFFFF" w:themeFill="background1"/>
          </w:tcPr>
          <w:p w14:paraId="35FB78BF" w14:textId="77777777" w:rsidR="00F91F6B" w:rsidRPr="007468B2" w:rsidRDefault="00F91F6B" w:rsidP="00C62B32">
            <w:pPr>
              <w:ind w:left="0"/>
              <w:jc w:val="center"/>
              <w:rPr>
                <w:b/>
                <w:bCs/>
                <w:sz w:val="28"/>
                <w:szCs w:val="28"/>
                <w:highlight w:val="yellow"/>
              </w:rPr>
            </w:pPr>
          </w:p>
        </w:tc>
        <w:tc>
          <w:tcPr>
            <w:tcW w:w="2097" w:type="dxa"/>
            <w:shd w:val="clear" w:color="auto" w:fill="FFFFFF" w:themeFill="background1"/>
          </w:tcPr>
          <w:p w14:paraId="0B53F761" w14:textId="552BB384" w:rsidR="00F91F6B" w:rsidRPr="007468B2" w:rsidRDefault="007468B2" w:rsidP="00C62B32">
            <w:pPr>
              <w:ind w:left="0"/>
              <w:jc w:val="center"/>
              <w:rPr>
                <w:b/>
                <w:bCs/>
              </w:rPr>
            </w:pPr>
            <w:r w:rsidRPr="007468B2">
              <w:rPr>
                <w:b/>
                <w:bCs/>
              </w:rPr>
              <w:t>Large Increments</w:t>
            </w:r>
            <w:r w:rsidRPr="007468B2">
              <w:rPr>
                <w:b/>
                <w:bCs/>
              </w:rPr>
              <w:cr/>
              <w:t xml:space="preserve">               </w:t>
            </w:r>
          </w:p>
        </w:tc>
      </w:tr>
      <w:tr w:rsidR="00F91F6B" w14:paraId="353CCBC8" w14:textId="77777777" w:rsidTr="00C62B32">
        <w:tc>
          <w:tcPr>
            <w:tcW w:w="9061" w:type="dxa"/>
            <w:gridSpan w:val="5"/>
          </w:tcPr>
          <w:p w14:paraId="2AEF3123" w14:textId="5F509D33" w:rsidR="00F91F6B" w:rsidRPr="00F91F6B" w:rsidRDefault="007468B2" w:rsidP="00686750">
            <w:pPr>
              <w:ind w:left="0"/>
              <w:jc w:val="left"/>
              <w:rPr>
                <w:b/>
                <w:bCs/>
                <w:u w:val="single"/>
              </w:rPr>
            </w:pPr>
            <w:r w:rsidRPr="007468B2">
              <w:rPr>
                <w:u w:val="single"/>
              </w:rPr>
              <w:t>Exit Barriers</w:t>
            </w:r>
          </w:p>
        </w:tc>
      </w:tr>
      <w:tr w:rsidR="00F91F6B" w14:paraId="51BF5812" w14:textId="77777777" w:rsidTr="00686750">
        <w:tc>
          <w:tcPr>
            <w:tcW w:w="1795" w:type="dxa"/>
          </w:tcPr>
          <w:p w14:paraId="786276BE" w14:textId="0C646912" w:rsidR="00F91F6B" w:rsidRPr="00F91F6B" w:rsidRDefault="00F91F6B" w:rsidP="00C62B32">
            <w:pPr>
              <w:ind w:left="0"/>
              <w:jc w:val="center"/>
              <w:rPr>
                <w:b/>
                <w:bCs/>
              </w:rPr>
            </w:pPr>
            <w:r>
              <w:rPr>
                <w:b/>
                <w:bCs/>
              </w:rPr>
              <w:t>Low</w:t>
            </w:r>
          </w:p>
        </w:tc>
        <w:tc>
          <w:tcPr>
            <w:tcW w:w="1723" w:type="dxa"/>
          </w:tcPr>
          <w:p w14:paraId="747254FA" w14:textId="77777777" w:rsidR="00F91F6B" w:rsidRPr="00F91F6B" w:rsidRDefault="00F91F6B" w:rsidP="00C62B32">
            <w:pPr>
              <w:ind w:left="0"/>
              <w:jc w:val="center"/>
              <w:rPr>
                <w:b/>
                <w:bCs/>
                <w:sz w:val="28"/>
                <w:szCs w:val="28"/>
                <w:highlight w:val="yellow"/>
              </w:rPr>
            </w:pPr>
          </w:p>
        </w:tc>
        <w:tc>
          <w:tcPr>
            <w:tcW w:w="1723" w:type="dxa"/>
          </w:tcPr>
          <w:p w14:paraId="6132E1B2" w14:textId="77777777" w:rsidR="00F91F6B" w:rsidRPr="00F91F6B" w:rsidRDefault="00F91F6B" w:rsidP="00C62B32">
            <w:pPr>
              <w:ind w:left="0"/>
              <w:jc w:val="center"/>
              <w:rPr>
                <w:b/>
                <w:bCs/>
                <w:sz w:val="28"/>
                <w:szCs w:val="28"/>
                <w:highlight w:val="yellow"/>
              </w:rPr>
            </w:pPr>
          </w:p>
        </w:tc>
        <w:tc>
          <w:tcPr>
            <w:tcW w:w="1723" w:type="dxa"/>
          </w:tcPr>
          <w:p w14:paraId="780952A3" w14:textId="77777777" w:rsidR="00F91F6B" w:rsidRPr="00F91F6B" w:rsidRDefault="00F91F6B" w:rsidP="00C62B32">
            <w:pPr>
              <w:ind w:left="0"/>
              <w:jc w:val="center"/>
              <w:rPr>
                <w:b/>
                <w:bCs/>
                <w:sz w:val="28"/>
                <w:szCs w:val="28"/>
                <w:highlight w:val="yellow"/>
              </w:rPr>
            </w:pPr>
          </w:p>
        </w:tc>
        <w:tc>
          <w:tcPr>
            <w:tcW w:w="2097" w:type="dxa"/>
          </w:tcPr>
          <w:p w14:paraId="18B4236A" w14:textId="77FCCD95" w:rsidR="00F91F6B" w:rsidRPr="00F91F6B" w:rsidRDefault="00F91F6B" w:rsidP="00C62B32">
            <w:pPr>
              <w:ind w:left="0"/>
              <w:jc w:val="center"/>
              <w:rPr>
                <w:b/>
                <w:bCs/>
              </w:rPr>
            </w:pPr>
            <w:r>
              <w:rPr>
                <w:b/>
                <w:bCs/>
              </w:rPr>
              <w:t xml:space="preserve">High </w:t>
            </w:r>
          </w:p>
        </w:tc>
      </w:tr>
    </w:tbl>
    <w:p w14:paraId="6B295545" w14:textId="77777777" w:rsidR="00686750" w:rsidRPr="000019CB" w:rsidRDefault="00686750" w:rsidP="00686750">
      <w:pPr>
        <w:spacing w:after="160" w:line="259" w:lineRule="auto"/>
        <w:ind w:left="0"/>
        <w:jc w:val="left"/>
        <w:rPr>
          <w:b/>
          <w:bCs/>
          <w:sz w:val="16"/>
          <w:szCs w:val="16"/>
        </w:rPr>
      </w:pPr>
      <w:r w:rsidRPr="00C930E1">
        <w:rPr>
          <w:b/>
          <w:bCs/>
          <w:sz w:val="16"/>
          <w:szCs w:val="16"/>
        </w:rPr>
        <w:t xml:space="preserve">PS: the spider diagrams are formatted from 1 to 5, with 1 representing the lower end of the spectrum and 5 representing the highest one. </w:t>
      </w:r>
    </w:p>
    <w:p w14:paraId="2D160826" w14:textId="779A2FE2" w:rsidR="00734EF9" w:rsidRDefault="00686750" w:rsidP="00734EF9">
      <w:pPr>
        <w:ind w:left="0"/>
        <w:rPr>
          <w:b/>
          <w:bCs/>
          <w:sz w:val="28"/>
          <w:szCs w:val="28"/>
        </w:rPr>
      </w:pPr>
      <w:r>
        <w:rPr>
          <w:b/>
          <w:bCs/>
          <w:noProof/>
          <w:sz w:val="28"/>
          <w:szCs w:val="28"/>
        </w:rPr>
        <w:drawing>
          <wp:inline distT="0" distB="0" distL="0" distR="0" wp14:anchorId="712BFBB7" wp14:editId="07EC94C9">
            <wp:extent cx="6219825" cy="3733800"/>
            <wp:effectExtent l="0" t="0" r="9525" b="0"/>
            <wp:docPr id="762490783" name="Grafico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85D6FE8" w14:textId="77777777" w:rsidR="00686750" w:rsidRDefault="00686750" w:rsidP="00686750">
      <w:pPr>
        <w:ind w:left="0"/>
        <w:rPr>
          <w:b/>
          <w:bCs/>
          <w:color w:val="FF0000"/>
          <w:sz w:val="28"/>
          <w:szCs w:val="28"/>
        </w:rPr>
      </w:pPr>
    </w:p>
    <w:p w14:paraId="4087ED48" w14:textId="58B2C95A" w:rsidR="004E6BAB" w:rsidRDefault="004E6BAB" w:rsidP="009161C0">
      <w:pPr>
        <w:jc w:val="center"/>
        <w:rPr>
          <w:b/>
          <w:bCs/>
          <w:sz w:val="28"/>
          <w:szCs w:val="28"/>
        </w:rPr>
      </w:pPr>
      <w:proofErr w:type="spellStart"/>
      <w:r w:rsidRPr="004E6BAB">
        <w:rPr>
          <w:b/>
          <w:bCs/>
          <w:sz w:val="28"/>
          <w:szCs w:val="28"/>
        </w:rPr>
        <w:lastRenderedPageBreak/>
        <w:t>Ghemawat‟s</w:t>
      </w:r>
      <w:proofErr w:type="spellEnd"/>
      <w:r w:rsidRPr="004E6BAB">
        <w:rPr>
          <w:b/>
          <w:bCs/>
          <w:sz w:val="28"/>
          <w:szCs w:val="28"/>
        </w:rPr>
        <w:t xml:space="preserve"> AAA Framework</w:t>
      </w:r>
    </w:p>
    <w:p w14:paraId="78C7EB15" w14:textId="77777777" w:rsidR="009161C0" w:rsidRPr="009161C0" w:rsidRDefault="009161C0" w:rsidP="009161C0">
      <w:pPr>
        <w:jc w:val="center"/>
        <w:rPr>
          <w:b/>
          <w:bCs/>
          <w:sz w:val="28"/>
          <w:szCs w:val="28"/>
        </w:rPr>
      </w:pPr>
    </w:p>
    <w:p w14:paraId="130615F7" w14:textId="07C7EA60" w:rsidR="004E6BAB" w:rsidRPr="004E6BAB" w:rsidRDefault="004E6BAB" w:rsidP="004E6BAB">
      <w:r w:rsidRPr="004E6BAB">
        <w:t xml:space="preserve">Ghemawat so-called AAA framework </w:t>
      </w:r>
      <w:r w:rsidR="009161C0">
        <w:rPr>
          <w:rStyle w:val="Rimandonotaapidipagina"/>
        </w:rPr>
        <w:footnoteReference w:id="4"/>
      </w:r>
      <w:r w:rsidRPr="004E6BAB">
        <w:t>offers three generic approaches to global value creation. Adaptation strategies seek to increase revenues and market share by tailoring one or more components of a company’s business model to suit local requirements or preferences</w:t>
      </w:r>
      <w:r w:rsidR="009161C0">
        <w:rPr>
          <w:rStyle w:val="Rimandonotaapidipagina"/>
        </w:rPr>
        <w:footnoteReference w:id="5"/>
      </w:r>
      <w:r w:rsidRPr="004E6BAB">
        <w:t>. Aggregation strategies focus on achieving economies of scale or scope by creating regional or global efficiencies; they typically involve standardizing a significant portion of the value proposition and grouping together development and production processes</w:t>
      </w:r>
      <w:r w:rsidR="009161C0">
        <w:rPr>
          <w:rStyle w:val="Rimandonotaapidipagina"/>
        </w:rPr>
        <w:footnoteReference w:id="6"/>
      </w:r>
      <w:r w:rsidRPr="004E6BAB">
        <w:t>. Arbitrage is about exploiting economic or other differences between national or regional markets, usually by locating separate parts of the supply chain in different places.</w:t>
      </w:r>
    </w:p>
    <w:p w14:paraId="113A0470" w14:textId="47EFE39B" w:rsidR="004E6BAB" w:rsidRDefault="009161C0" w:rsidP="00431843">
      <w:r w:rsidRPr="009161C0">
        <w:t>By considering the Adaptation, Aggregation, and Arbitrage dimensions of the AAA framework, companies can develop a comprehensive market positioning strategy. They can identify opportunities to differentiate their offerings, optimize their operations, and capitalize on market variations to enhance their competitiveness. The framework prompts companies to analyse the specific market context and craft strategies that align with the unique needs and dynamics of target markets, leading to improved market positioning and sustainable business success.</w:t>
      </w:r>
    </w:p>
    <w:p w14:paraId="1548CE83" w14:textId="4D3CAE5D" w:rsidR="006B1C51" w:rsidRDefault="00C62B32" w:rsidP="00211B11">
      <w:pPr>
        <w:rPr>
          <w:b/>
          <w:bCs/>
          <w:color w:val="FF0000"/>
          <w:sz w:val="24"/>
          <w:szCs w:val="24"/>
        </w:rPr>
      </w:pPr>
      <w:r w:rsidRPr="00C62B32">
        <w:rPr>
          <w:b/>
          <w:bCs/>
          <w:color w:val="FF0000"/>
          <w:sz w:val="24"/>
          <w:szCs w:val="24"/>
        </w:rPr>
        <w:t xml:space="preserve">This is particularly useful for those who have their innovation/result in a very advanced TRL (technology readiness level) higher than 7. </w:t>
      </w:r>
    </w:p>
    <w:p w14:paraId="2F35614B" w14:textId="77777777" w:rsidR="00211B11" w:rsidRPr="00502F1A" w:rsidRDefault="00211B11" w:rsidP="00211B11">
      <w:pPr>
        <w:rPr>
          <w:b/>
          <w:bCs/>
          <w:color w:val="FF0000"/>
        </w:rPr>
      </w:pPr>
    </w:p>
    <w:tbl>
      <w:tblPr>
        <w:tblStyle w:val="Grigliatabella"/>
        <w:tblW w:w="0" w:type="auto"/>
        <w:tblInd w:w="567" w:type="dxa"/>
        <w:tblLook w:val="04A0" w:firstRow="1" w:lastRow="0" w:firstColumn="1" w:lastColumn="0" w:noHBand="0" w:noVBand="1"/>
      </w:tblPr>
      <w:tblGrid>
        <w:gridCol w:w="2263"/>
        <w:gridCol w:w="2259"/>
        <w:gridCol w:w="2283"/>
        <w:gridCol w:w="2256"/>
      </w:tblGrid>
      <w:tr w:rsidR="00502F1A" w:rsidRPr="00502F1A" w14:paraId="10867AFD" w14:textId="77777777" w:rsidTr="00C86D9F">
        <w:tc>
          <w:tcPr>
            <w:tcW w:w="2263" w:type="dxa"/>
          </w:tcPr>
          <w:p w14:paraId="6D5FDA6D" w14:textId="77777777" w:rsidR="006B1C51" w:rsidRPr="00053523" w:rsidRDefault="006B1C51" w:rsidP="00431843">
            <w:pPr>
              <w:ind w:left="0"/>
              <w:rPr>
                <w:rFonts w:cstheme="minorHAnsi"/>
                <w:b/>
                <w:bCs/>
                <w:color w:val="FF0000"/>
              </w:rPr>
            </w:pPr>
          </w:p>
        </w:tc>
        <w:tc>
          <w:tcPr>
            <w:tcW w:w="2259" w:type="dxa"/>
          </w:tcPr>
          <w:p w14:paraId="114B8A33" w14:textId="708DBAB1" w:rsidR="006B1C51" w:rsidRPr="00053523" w:rsidRDefault="00211B11" w:rsidP="00502F1A">
            <w:pPr>
              <w:ind w:left="0"/>
              <w:jc w:val="center"/>
              <w:rPr>
                <w:rFonts w:cstheme="minorHAnsi"/>
                <w:b/>
                <w:bCs/>
                <w:color w:val="FF0000"/>
              </w:rPr>
            </w:pPr>
            <w:r w:rsidRPr="00053523">
              <w:rPr>
                <w:rFonts w:cstheme="minorHAnsi"/>
                <w:b/>
                <w:bCs/>
                <w:kern w:val="0"/>
              </w:rPr>
              <w:t>ADAPTATION</w:t>
            </w:r>
          </w:p>
        </w:tc>
        <w:tc>
          <w:tcPr>
            <w:tcW w:w="2283" w:type="dxa"/>
          </w:tcPr>
          <w:p w14:paraId="1A019115" w14:textId="4BF0CEAD" w:rsidR="006B1C51" w:rsidRPr="00053523" w:rsidRDefault="00211B11" w:rsidP="00502F1A">
            <w:pPr>
              <w:ind w:left="0"/>
              <w:jc w:val="center"/>
              <w:rPr>
                <w:rFonts w:cstheme="minorHAnsi"/>
                <w:b/>
                <w:bCs/>
                <w:color w:val="FF0000"/>
              </w:rPr>
            </w:pPr>
            <w:r w:rsidRPr="00053523">
              <w:rPr>
                <w:rFonts w:cstheme="minorHAnsi"/>
                <w:b/>
                <w:bCs/>
                <w:kern w:val="0"/>
              </w:rPr>
              <w:t>AGGREGATION</w:t>
            </w:r>
          </w:p>
        </w:tc>
        <w:tc>
          <w:tcPr>
            <w:tcW w:w="2256" w:type="dxa"/>
          </w:tcPr>
          <w:p w14:paraId="4927A234" w14:textId="74F924CF" w:rsidR="006B1C51" w:rsidRPr="00053523" w:rsidRDefault="00211B11" w:rsidP="00502F1A">
            <w:pPr>
              <w:ind w:left="0"/>
              <w:jc w:val="center"/>
              <w:rPr>
                <w:rFonts w:cstheme="minorHAnsi"/>
                <w:b/>
                <w:bCs/>
                <w:color w:val="FF0000"/>
              </w:rPr>
            </w:pPr>
            <w:r w:rsidRPr="00053523">
              <w:rPr>
                <w:rFonts w:cstheme="minorHAnsi"/>
                <w:b/>
                <w:bCs/>
                <w:kern w:val="0"/>
              </w:rPr>
              <w:t>ARBITRAGE</w:t>
            </w:r>
          </w:p>
        </w:tc>
      </w:tr>
      <w:tr w:rsidR="00502F1A" w:rsidRPr="00502F1A" w14:paraId="69118ACD" w14:textId="77777777" w:rsidTr="00C86D9F">
        <w:tc>
          <w:tcPr>
            <w:tcW w:w="2263" w:type="dxa"/>
          </w:tcPr>
          <w:p w14:paraId="111354C6" w14:textId="77777777" w:rsidR="00502F1A" w:rsidRPr="00053523" w:rsidRDefault="00502F1A" w:rsidP="00502F1A">
            <w:pPr>
              <w:spacing w:after="0"/>
              <w:ind w:left="0"/>
              <w:rPr>
                <w:rFonts w:cstheme="minorHAnsi"/>
                <w:b/>
                <w:bCs/>
              </w:rPr>
            </w:pPr>
            <w:r w:rsidRPr="00053523">
              <w:rPr>
                <w:rFonts w:cstheme="minorHAnsi"/>
                <w:b/>
                <w:bCs/>
              </w:rPr>
              <w:t>Competitive Advantage</w:t>
            </w:r>
            <w:r w:rsidRPr="00053523">
              <w:rPr>
                <w:rFonts w:cstheme="minorHAnsi"/>
                <w:b/>
                <w:bCs/>
              </w:rPr>
              <w:t xml:space="preserve"> </w:t>
            </w:r>
          </w:p>
          <w:p w14:paraId="1228E413" w14:textId="37A6B24F" w:rsidR="006B1C51" w:rsidRPr="00053523" w:rsidRDefault="00502F1A" w:rsidP="00502F1A">
            <w:pPr>
              <w:spacing w:after="0"/>
              <w:ind w:left="0"/>
              <w:rPr>
                <w:rFonts w:cstheme="minorHAnsi"/>
              </w:rPr>
            </w:pPr>
            <w:r w:rsidRPr="00053523">
              <w:rPr>
                <w:rFonts w:cstheme="minorHAnsi"/>
              </w:rPr>
              <w:t>Why should we globalize</w:t>
            </w:r>
            <w:r w:rsidRPr="00053523">
              <w:rPr>
                <w:rFonts w:cstheme="minorHAnsi"/>
              </w:rPr>
              <w:t xml:space="preserve"> </w:t>
            </w:r>
            <w:r w:rsidRPr="00053523">
              <w:rPr>
                <w:rFonts w:cstheme="minorHAnsi"/>
              </w:rPr>
              <w:t>at all?</w:t>
            </w:r>
          </w:p>
        </w:tc>
        <w:tc>
          <w:tcPr>
            <w:tcW w:w="2259" w:type="dxa"/>
          </w:tcPr>
          <w:p w14:paraId="57D3FEDC" w14:textId="77777777" w:rsidR="00C86D9F" w:rsidRPr="00053523" w:rsidRDefault="00C86D9F" w:rsidP="00C86D9F">
            <w:pPr>
              <w:spacing w:after="0"/>
              <w:ind w:left="0"/>
              <w:jc w:val="left"/>
              <w:rPr>
                <w:rFonts w:cstheme="minorHAnsi"/>
              </w:rPr>
            </w:pPr>
            <w:r w:rsidRPr="00053523">
              <w:rPr>
                <w:rFonts w:cstheme="minorHAnsi"/>
              </w:rPr>
              <w:t>To achieve local relevance through</w:t>
            </w:r>
          </w:p>
          <w:p w14:paraId="45C26E2A" w14:textId="316AE845" w:rsidR="006B1C51" w:rsidRPr="00053523" w:rsidRDefault="00C86D9F" w:rsidP="00C86D9F">
            <w:pPr>
              <w:spacing w:after="0"/>
              <w:ind w:left="0"/>
              <w:jc w:val="left"/>
              <w:rPr>
                <w:rFonts w:cstheme="minorHAnsi"/>
                <w:b/>
                <w:bCs/>
                <w:color w:val="FF0000"/>
              </w:rPr>
            </w:pPr>
            <w:r w:rsidRPr="00053523">
              <w:rPr>
                <w:rFonts w:cstheme="minorHAnsi"/>
              </w:rPr>
              <w:t>national focus while exploiting some</w:t>
            </w:r>
            <w:r w:rsidRPr="00053523">
              <w:rPr>
                <w:rFonts w:cstheme="minorHAnsi"/>
              </w:rPr>
              <w:t xml:space="preserve"> </w:t>
            </w:r>
            <w:r w:rsidRPr="00053523">
              <w:rPr>
                <w:rFonts w:cstheme="minorHAnsi"/>
              </w:rPr>
              <w:t>economies of scale</w:t>
            </w:r>
          </w:p>
        </w:tc>
        <w:tc>
          <w:tcPr>
            <w:tcW w:w="2283" w:type="dxa"/>
          </w:tcPr>
          <w:p w14:paraId="1B723E04" w14:textId="31C6DE10" w:rsidR="00C86D9F" w:rsidRPr="00053523" w:rsidRDefault="00C86D9F" w:rsidP="00C86D9F">
            <w:pPr>
              <w:ind w:left="0"/>
              <w:rPr>
                <w:rFonts w:cstheme="minorHAnsi"/>
              </w:rPr>
            </w:pPr>
            <w:r w:rsidRPr="00053523">
              <w:rPr>
                <w:rFonts w:cstheme="minorHAnsi"/>
              </w:rPr>
              <w:t>To achieve scale and scope</w:t>
            </w:r>
            <w:r w:rsidRPr="00053523">
              <w:rPr>
                <w:rFonts w:cstheme="minorHAnsi"/>
              </w:rPr>
              <w:t xml:space="preserve"> </w:t>
            </w:r>
            <w:r w:rsidRPr="00053523">
              <w:rPr>
                <w:rFonts w:cstheme="minorHAnsi"/>
              </w:rPr>
              <w:t>economies through international</w:t>
            </w:r>
          </w:p>
          <w:p w14:paraId="4F09231D" w14:textId="08C1E0CB" w:rsidR="006B1C51" w:rsidRPr="00053523" w:rsidRDefault="00C86D9F" w:rsidP="00C86D9F">
            <w:pPr>
              <w:ind w:left="0"/>
              <w:rPr>
                <w:rFonts w:cstheme="minorHAnsi"/>
              </w:rPr>
            </w:pPr>
            <w:r w:rsidRPr="00053523">
              <w:rPr>
                <w:rFonts w:cstheme="minorHAnsi"/>
              </w:rPr>
              <w:t>standardization</w:t>
            </w:r>
          </w:p>
        </w:tc>
        <w:tc>
          <w:tcPr>
            <w:tcW w:w="2256" w:type="dxa"/>
          </w:tcPr>
          <w:p w14:paraId="2C94F1EB" w14:textId="53553BDF" w:rsidR="006B1C51" w:rsidRPr="00053523" w:rsidRDefault="00C86D9F" w:rsidP="00C86D9F">
            <w:pPr>
              <w:ind w:left="0"/>
              <w:rPr>
                <w:rFonts w:cstheme="minorHAnsi"/>
              </w:rPr>
            </w:pPr>
            <w:r w:rsidRPr="00053523">
              <w:rPr>
                <w:rFonts w:cstheme="minorHAnsi"/>
              </w:rPr>
              <w:t>To achieve absolute economies</w:t>
            </w:r>
            <w:r w:rsidRPr="00053523">
              <w:rPr>
                <w:rFonts w:cstheme="minorHAnsi"/>
              </w:rPr>
              <w:t xml:space="preserve"> </w:t>
            </w:r>
            <w:r w:rsidRPr="00053523">
              <w:rPr>
                <w:rFonts w:cstheme="minorHAnsi"/>
              </w:rPr>
              <w:t>through international specialization</w:t>
            </w:r>
          </w:p>
        </w:tc>
      </w:tr>
      <w:tr w:rsidR="00C86D9F" w:rsidRPr="00502F1A" w14:paraId="1219643B" w14:textId="77777777" w:rsidTr="00C86D9F">
        <w:tc>
          <w:tcPr>
            <w:tcW w:w="2263" w:type="dxa"/>
          </w:tcPr>
          <w:p w14:paraId="2745DB4D" w14:textId="77777777" w:rsidR="00C86D9F" w:rsidRPr="00053523" w:rsidRDefault="00C86D9F" w:rsidP="00502F1A">
            <w:pPr>
              <w:autoSpaceDE w:val="0"/>
              <w:autoSpaceDN w:val="0"/>
              <w:adjustRightInd w:val="0"/>
              <w:spacing w:after="0"/>
              <w:ind w:left="0"/>
              <w:jc w:val="left"/>
              <w:rPr>
                <w:rFonts w:cstheme="minorHAnsi"/>
                <w:b/>
                <w:bCs/>
                <w:kern w:val="0"/>
              </w:rPr>
            </w:pPr>
            <w:r w:rsidRPr="00053523">
              <w:rPr>
                <w:rFonts w:cstheme="minorHAnsi"/>
                <w:b/>
                <w:bCs/>
                <w:kern w:val="0"/>
              </w:rPr>
              <w:t>Configuration</w:t>
            </w:r>
          </w:p>
          <w:p w14:paraId="6106D0C8" w14:textId="3DA5B5EE" w:rsidR="00C86D9F" w:rsidRPr="00053523" w:rsidRDefault="00C86D9F" w:rsidP="00502F1A">
            <w:pPr>
              <w:autoSpaceDE w:val="0"/>
              <w:autoSpaceDN w:val="0"/>
              <w:adjustRightInd w:val="0"/>
              <w:spacing w:after="0"/>
              <w:ind w:left="0"/>
              <w:jc w:val="left"/>
              <w:rPr>
                <w:rFonts w:cstheme="minorHAnsi"/>
                <w:b/>
                <w:bCs/>
                <w:color w:val="FF0000"/>
              </w:rPr>
            </w:pPr>
            <w:r w:rsidRPr="00053523">
              <w:rPr>
                <w:rFonts w:cstheme="minorHAnsi"/>
                <w:kern w:val="0"/>
              </w:rPr>
              <w:t>Where should we locate</w:t>
            </w:r>
            <w:r w:rsidRPr="00053523">
              <w:rPr>
                <w:rFonts w:cstheme="minorHAnsi"/>
                <w:kern w:val="0"/>
              </w:rPr>
              <w:t xml:space="preserve"> </w:t>
            </w:r>
            <w:r w:rsidRPr="00053523">
              <w:rPr>
                <w:rFonts w:cstheme="minorHAnsi"/>
                <w:kern w:val="0"/>
              </w:rPr>
              <w:t>operations overseas?</w:t>
            </w:r>
          </w:p>
        </w:tc>
        <w:tc>
          <w:tcPr>
            <w:tcW w:w="4542" w:type="dxa"/>
            <w:gridSpan w:val="2"/>
          </w:tcPr>
          <w:p w14:paraId="5733B3AB" w14:textId="77777777" w:rsidR="00C86D9F" w:rsidRPr="00053523" w:rsidRDefault="00C86D9F" w:rsidP="00C86D9F">
            <w:pPr>
              <w:autoSpaceDE w:val="0"/>
              <w:autoSpaceDN w:val="0"/>
              <w:adjustRightInd w:val="0"/>
              <w:spacing w:after="0"/>
              <w:ind w:left="0"/>
              <w:jc w:val="left"/>
              <w:rPr>
                <w:rFonts w:cstheme="minorHAnsi"/>
                <w:kern w:val="0"/>
              </w:rPr>
            </w:pPr>
            <w:r w:rsidRPr="00053523">
              <w:rPr>
                <w:rFonts w:cstheme="minorHAnsi"/>
                <w:kern w:val="0"/>
              </w:rPr>
              <w:t xml:space="preserve">Mainly in foreign countries that are </w:t>
            </w:r>
            <w:proofErr w:type="gramStart"/>
            <w:r w:rsidRPr="00053523">
              <w:rPr>
                <w:rFonts w:cstheme="minorHAnsi"/>
                <w:kern w:val="0"/>
              </w:rPr>
              <w:t>similar to</w:t>
            </w:r>
            <w:proofErr w:type="gramEnd"/>
            <w:r w:rsidRPr="00053523">
              <w:rPr>
                <w:rFonts w:cstheme="minorHAnsi"/>
                <w:kern w:val="0"/>
              </w:rPr>
              <w:t xml:space="preserve"> the home base, to limit the</w:t>
            </w:r>
          </w:p>
          <w:p w14:paraId="3F6C5E24" w14:textId="7580830E" w:rsidR="00C86D9F" w:rsidRPr="00053523" w:rsidRDefault="00C86D9F" w:rsidP="00C86D9F">
            <w:pPr>
              <w:ind w:left="0"/>
              <w:rPr>
                <w:rFonts w:cstheme="minorHAnsi"/>
              </w:rPr>
            </w:pPr>
            <w:r w:rsidRPr="00053523">
              <w:rPr>
                <w:rFonts w:cstheme="minorHAnsi"/>
                <w:kern w:val="0"/>
              </w:rPr>
              <w:t>effects of cultural, administrative, geographic, and economic distance</w:t>
            </w:r>
          </w:p>
        </w:tc>
        <w:tc>
          <w:tcPr>
            <w:tcW w:w="2256" w:type="dxa"/>
          </w:tcPr>
          <w:p w14:paraId="3B644E37" w14:textId="1085A13B" w:rsidR="00C86D9F" w:rsidRPr="00053523" w:rsidRDefault="00C86D9F" w:rsidP="00C86D9F">
            <w:pPr>
              <w:ind w:left="0"/>
              <w:rPr>
                <w:rFonts w:cstheme="minorHAnsi"/>
              </w:rPr>
            </w:pPr>
            <w:r w:rsidRPr="00053523">
              <w:rPr>
                <w:rFonts w:cstheme="minorHAnsi"/>
              </w:rPr>
              <w:t>In a more diverse set of countries,</w:t>
            </w:r>
            <w:r w:rsidRPr="00053523">
              <w:rPr>
                <w:rFonts w:cstheme="minorHAnsi"/>
              </w:rPr>
              <w:t xml:space="preserve"> </w:t>
            </w:r>
            <w:r w:rsidRPr="00053523">
              <w:rPr>
                <w:rFonts w:cstheme="minorHAnsi"/>
              </w:rPr>
              <w:t>to exploit some elements of</w:t>
            </w:r>
            <w:r w:rsidRPr="00053523">
              <w:rPr>
                <w:rFonts w:cstheme="minorHAnsi"/>
              </w:rPr>
              <w:t xml:space="preserve"> </w:t>
            </w:r>
            <w:r w:rsidRPr="00053523">
              <w:rPr>
                <w:rFonts w:cstheme="minorHAnsi"/>
              </w:rPr>
              <w:t>distance</w:t>
            </w:r>
          </w:p>
        </w:tc>
      </w:tr>
      <w:tr w:rsidR="00502F1A" w:rsidRPr="00502F1A" w14:paraId="7D6DCE48" w14:textId="77777777" w:rsidTr="00C86D9F">
        <w:tc>
          <w:tcPr>
            <w:tcW w:w="2263" w:type="dxa"/>
          </w:tcPr>
          <w:p w14:paraId="527C8B06" w14:textId="77777777" w:rsidR="00502F1A" w:rsidRPr="00053523" w:rsidRDefault="00502F1A" w:rsidP="00502F1A">
            <w:pPr>
              <w:autoSpaceDE w:val="0"/>
              <w:autoSpaceDN w:val="0"/>
              <w:adjustRightInd w:val="0"/>
              <w:spacing w:after="0"/>
              <w:ind w:left="0"/>
              <w:jc w:val="left"/>
              <w:rPr>
                <w:rFonts w:cstheme="minorHAnsi"/>
                <w:b/>
                <w:bCs/>
                <w:kern w:val="0"/>
              </w:rPr>
            </w:pPr>
            <w:r w:rsidRPr="00053523">
              <w:rPr>
                <w:rFonts w:cstheme="minorHAnsi"/>
                <w:b/>
                <w:bCs/>
                <w:kern w:val="0"/>
              </w:rPr>
              <w:t>Coordination</w:t>
            </w:r>
          </w:p>
          <w:p w14:paraId="7326F383" w14:textId="5FC3F1C1" w:rsidR="006B1C51" w:rsidRPr="00053523" w:rsidRDefault="00502F1A" w:rsidP="00502F1A">
            <w:pPr>
              <w:autoSpaceDE w:val="0"/>
              <w:autoSpaceDN w:val="0"/>
              <w:adjustRightInd w:val="0"/>
              <w:spacing w:after="0"/>
              <w:ind w:left="0"/>
              <w:jc w:val="left"/>
              <w:rPr>
                <w:rFonts w:cstheme="minorHAnsi"/>
                <w:b/>
                <w:bCs/>
                <w:color w:val="FF0000"/>
              </w:rPr>
            </w:pPr>
            <w:r w:rsidRPr="00053523">
              <w:rPr>
                <w:rFonts w:cstheme="minorHAnsi"/>
                <w:kern w:val="0"/>
              </w:rPr>
              <w:t>How should we connect</w:t>
            </w:r>
            <w:r w:rsidRPr="00053523">
              <w:rPr>
                <w:rFonts w:cstheme="minorHAnsi"/>
                <w:kern w:val="0"/>
              </w:rPr>
              <w:t xml:space="preserve"> </w:t>
            </w:r>
            <w:r w:rsidRPr="00053523">
              <w:rPr>
                <w:rFonts w:cstheme="minorHAnsi"/>
                <w:kern w:val="0"/>
              </w:rPr>
              <w:t>international operations?</w:t>
            </w:r>
          </w:p>
        </w:tc>
        <w:tc>
          <w:tcPr>
            <w:tcW w:w="2259" w:type="dxa"/>
          </w:tcPr>
          <w:p w14:paraId="3858DEC1" w14:textId="356526CF" w:rsidR="006B1C51" w:rsidRPr="00053523" w:rsidRDefault="00C86D9F" w:rsidP="00C86D9F">
            <w:pPr>
              <w:ind w:left="0"/>
              <w:jc w:val="left"/>
              <w:rPr>
                <w:rFonts w:cstheme="minorHAnsi"/>
                <w:b/>
                <w:bCs/>
                <w:color w:val="FF0000"/>
              </w:rPr>
            </w:pPr>
            <w:r w:rsidRPr="00053523">
              <w:rPr>
                <w:rFonts w:cstheme="minorHAnsi"/>
              </w:rPr>
              <w:t>By country, with emphasis on</w:t>
            </w:r>
            <w:r w:rsidRPr="00053523">
              <w:rPr>
                <w:rFonts w:cstheme="minorHAnsi"/>
              </w:rPr>
              <w:t xml:space="preserve"> </w:t>
            </w:r>
            <w:r w:rsidRPr="00053523">
              <w:rPr>
                <w:rFonts w:cstheme="minorHAnsi"/>
              </w:rPr>
              <w:t>achieving local presence within</w:t>
            </w:r>
            <w:r w:rsidRPr="00053523">
              <w:rPr>
                <w:rFonts w:cstheme="minorHAnsi"/>
              </w:rPr>
              <w:t xml:space="preserve"> </w:t>
            </w:r>
            <w:r w:rsidRPr="00053523">
              <w:rPr>
                <w:rFonts w:cstheme="minorHAnsi"/>
              </w:rPr>
              <w:t>borders</w:t>
            </w:r>
          </w:p>
        </w:tc>
        <w:tc>
          <w:tcPr>
            <w:tcW w:w="2283" w:type="dxa"/>
          </w:tcPr>
          <w:p w14:paraId="446656D3" w14:textId="04BEA151" w:rsidR="006B1C51" w:rsidRPr="00053523" w:rsidRDefault="00C86D9F" w:rsidP="00C86D9F">
            <w:pPr>
              <w:ind w:left="0"/>
              <w:jc w:val="left"/>
              <w:rPr>
                <w:rFonts w:cstheme="minorHAnsi"/>
              </w:rPr>
            </w:pPr>
            <w:r w:rsidRPr="00053523">
              <w:rPr>
                <w:rFonts w:cstheme="minorHAnsi"/>
              </w:rPr>
              <w:t xml:space="preserve">By business, </w:t>
            </w:r>
            <w:proofErr w:type="gramStart"/>
            <w:r w:rsidRPr="00053523">
              <w:rPr>
                <w:rFonts w:cstheme="minorHAnsi"/>
              </w:rPr>
              <w:t>region</w:t>
            </w:r>
            <w:proofErr w:type="gramEnd"/>
            <w:r w:rsidRPr="00053523">
              <w:rPr>
                <w:rFonts w:cstheme="minorHAnsi"/>
              </w:rPr>
              <w:t xml:space="preserve"> or </w:t>
            </w:r>
            <w:r w:rsidRPr="00053523">
              <w:rPr>
                <w:rFonts w:cstheme="minorHAnsi"/>
              </w:rPr>
              <w:t>customer, with</w:t>
            </w:r>
            <w:r w:rsidRPr="00053523">
              <w:rPr>
                <w:rFonts w:cstheme="minorHAnsi"/>
              </w:rPr>
              <w:t xml:space="preserve"> emphasis on horizontal</w:t>
            </w:r>
            <w:r w:rsidRPr="00053523">
              <w:rPr>
                <w:rFonts w:cstheme="minorHAnsi"/>
              </w:rPr>
              <w:t xml:space="preserve"> </w:t>
            </w:r>
            <w:r w:rsidRPr="00053523">
              <w:rPr>
                <w:rFonts w:cstheme="minorHAnsi"/>
              </w:rPr>
              <w:t>relationships for cross-border</w:t>
            </w:r>
            <w:r w:rsidRPr="00053523">
              <w:rPr>
                <w:rFonts w:cstheme="minorHAnsi"/>
              </w:rPr>
              <w:t xml:space="preserve"> </w:t>
            </w:r>
            <w:r w:rsidRPr="00053523">
              <w:rPr>
                <w:rFonts w:cstheme="minorHAnsi"/>
              </w:rPr>
              <w:t>economies of scale</w:t>
            </w:r>
          </w:p>
        </w:tc>
        <w:tc>
          <w:tcPr>
            <w:tcW w:w="2256" w:type="dxa"/>
          </w:tcPr>
          <w:p w14:paraId="244171E6" w14:textId="77777777" w:rsidR="00C86D9F" w:rsidRPr="00053523" w:rsidRDefault="00C86D9F" w:rsidP="00C86D9F">
            <w:pPr>
              <w:autoSpaceDE w:val="0"/>
              <w:autoSpaceDN w:val="0"/>
              <w:adjustRightInd w:val="0"/>
              <w:spacing w:after="0"/>
              <w:ind w:left="0"/>
              <w:jc w:val="left"/>
              <w:rPr>
                <w:rFonts w:cstheme="minorHAnsi"/>
                <w:kern w:val="0"/>
              </w:rPr>
            </w:pPr>
            <w:r w:rsidRPr="00053523">
              <w:rPr>
                <w:rFonts w:cstheme="minorHAnsi"/>
                <w:kern w:val="0"/>
              </w:rPr>
              <w:t>By function, with emphasis on</w:t>
            </w:r>
          </w:p>
          <w:p w14:paraId="7DBB4224" w14:textId="77777777" w:rsidR="00C86D9F" w:rsidRPr="00053523" w:rsidRDefault="00C86D9F" w:rsidP="00C86D9F">
            <w:pPr>
              <w:autoSpaceDE w:val="0"/>
              <w:autoSpaceDN w:val="0"/>
              <w:adjustRightInd w:val="0"/>
              <w:spacing w:after="0"/>
              <w:ind w:left="0"/>
              <w:jc w:val="left"/>
              <w:rPr>
                <w:rFonts w:cstheme="minorHAnsi"/>
                <w:kern w:val="0"/>
              </w:rPr>
            </w:pPr>
            <w:r w:rsidRPr="00053523">
              <w:rPr>
                <w:rFonts w:cstheme="minorHAnsi"/>
                <w:kern w:val="0"/>
              </w:rPr>
              <w:t>vertical relationships, even across</w:t>
            </w:r>
          </w:p>
          <w:p w14:paraId="251DA5C9" w14:textId="65CDB3BE" w:rsidR="006B1C51" w:rsidRPr="00053523" w:rsidRDefault="00C86D9F" w:rsidP="00C86D9F">
            <w:pPr>
              <w:ind w:left="0"/>
              <w:rPr>
                <w:rFonts w:cstheme="minorHAnsi"/>
                <w:b/>
                <w:bCs/>
                <w:color w:val="FF0000"/>
              </w:rPr>
            </w:pPr>
            <w:r w:rsidRPr="00053523">
              <w:rPr>
                <w:rFonts w:cstheme="minorHAnsi"/>
                <w:kern w:val="0"/>
              </w:rPr>
              <w:t>organizational boundaries</w:t>
            </w:r>
            <w:r w:rsidRPr="00053523">
              <w:rPr>
                <w:rFonts w:cstheme="minorHAnsi"/>
                <w:kern w:val="0"/>
              </w:rPr>
              <w:t>.</w:t>
            </w:r>
          </w:p>
        </w:tc>
      </w:tr>
      <w:tr w:rsidR="00502F1A" w:rsidRPr="00502F1A" w14:paraId="6541E28D" w14:textId="77777777" w:rsidTr="00C86D9F">
        <w:tc>
          <w:tcPr>
            <w:tcW w:w="2263" w:type="dxa"/>
          </w:tcPr>
          <w:p w14:paraId="1B000639" w14:textId="77777777" w:rsidR="00B6410C" w:rsidRPr="00053523" w:rsidRDefault="00B6410C" w:rsidP="00B6410C">
            <w:pPr>
              <w:autoSpaceDE w:val="0"/>
              <w:autoSpaceDN w:val="0"/>
              <w:adjustRightInd w:val="0"/>
              <w:spacing w:after="0"/>
              <w:ind w:left="0"/>
              <w:jc w:val="left"/>
              <w:rPr>
                <w:rFonts w:cstheme="minorHAnsi"/>
                <w:b/>
                <w:bCs/>
                <w:kern w:val="0"/>
              </w:rPr>
            </w:pPr>
            <w:r w:rsidRPr="00053523">
              <w:rPr>
                <w:rFonts w:cstheme="minorHAnsi"/>
                <w:b/>
                <w:bCs/>
                <w:kern w:val="0"/>
              </w:rPr>
              <w:t>Controls</w:t>
            </w:r>
          </w:p>
          <w:p w14:paraId="6AFB70C0" w14:textId="77777777" w:rsidR="00B6410C" w:rsidRPr="00053523" w:rsidRDefault="00B6410C" w:rsidP="00B6410C">
            <w:pPr>
              <w:autoSpaceDE w:val="0"/>
              <w:autoSpaceDN w:val="0"/>
              <w:adjustRightInd w:val="0"/>
              <w:spacing w:after="0"/>
              <w:ind w:left="0"/>
              <w:jc w:val="left"/>
              <w:rPr>
                <w:rFonts w:cstheme="minorHAnsi"/>
                <w:kern w:val="0"/>
              </w:rPr>
            </w:pPr>
            <w:r w:rsidRPr="00053523">
              <w:rPr>
                <w:rFonts w:cstheme="minorHAnsi"/>
                <w:kern w:val="0"/>
              </w:rPr>
              <w:t>What type of extremes</w:t>
            </w:r>
          </w:p>
          <w:p w14:paraId="788F9E2F" w14:textId="4B2170DB" w:rsidR="006B1C51" w:rsidRPr="00053523" w:rsidRDefault="00B6410C" w:rsidP="00B6410C">
            <w:pPr>
              <w:ind w:left="0"/>
              <w:rPr>
                <w:rFonts w:cstheme="minorHAnsi"/>
                <w:b/>
                <w:bCs/>
                <w:color w:val="FF0000"/>
              </w:rPr>
            </w:pPr>
            <w:r w:rsidRPr="00053523">
              <w:rPr>
                <w:rFonts w:cstheme="minorHAnsi"/>
                <w:kern w:val="0"/>
              </w:rPr>
              <w:t>should we watch for?</w:t>
            </w:r>
          </w:p>
        </w:tc>
        <w:tc>
          <w:tcPr>
            <w:tcW w:w="2259" w:type="dxa"/>
          </w:tcPr>
          <w:p w14:paraId="38B45EFF" w14:textId="365E3423" w:rsidR="006B1C51" w:rsidRPr="00053523" w:rsidRDefault="00C86D9F" w:rsidP="00053523">
            <w:pPr>
              <w:autoSpaceDE w:val="0"/>
              <w:autoSpaceDN w:val="0"/>
              <w:adjustRightInd w:val="0"/>
              <w:spacing w:after="0"/>
              <w:ind w:left="0"/>
              <w:jc w:val="left"/>
              <w:rPr>
                <w:rFonts w:cstheme="minorHAnsi"/>
                <w:b/>
                <w:bCs/>
                <w:color w:val="FF0000"/>
              </w:rPr>
            </w:pPr>
            <w:r w:rsidRPr="00053523">
              <w:rPr>
                <w:rFonts w:cstheme="minorHAnsi"/>
                <w:kern w:val="0"/>
              </w:rPr>
              <w:t xml:space="preserve">Excessive variety or complexity </w:t>
            </w:r>
          </w:p>
        </w:tc>
        <w:tc>
          <w:tcPr>
            <w:tcW w:w="2283" w:type="dxa"/>
          </w:tcPr>
          <w:p w14:paraId="5702FA88" w14:textId="77777777" w:rsidR="00053523" w:rsidRPr="00053523" w:rsidRDefault="00053523" w:rsidP="00053523">
            <w:pPr>
              <w:autoSpaceDE w:val="0"/>
              <w:autoSpaceDN w:val="0"/>
              <w:adjustRightInd w:val="0"/>
              <w:spacing w:after="0"/>
              <w:ind w:left="0"/>
              <w:jc w:val="left"/>
              <w:rPr>
                <w:rFonts w:cstheme="minorHAnsi"/>
                <w:kern w:val="0"/>
              </w:rPr>
            </w:pPr>
            <w:r w:rsidRPr="00053523">
              <w:rPr>
                <w:rFonts w:cstheme="minorHAnsi"/>
                <w:kern w:val="0"/>
              </w:rPr>
              <w:t>Excessive standardization, with</w:t>
            </w:r>
          </w:p>
          <w:p w14:paraId="285208C0" w14:textId="77777777" w:rsidR="00053523" w:rsidRPr="00053523" w:rsidRDefault="00053523" w:rsidP="00053523">
            <w:pPr>
              <w:autoSpaceDE w:val="0"/>
              <w:autoSpaceDN w:val="0"/>
              <w:adjustRightInd w:val="0"/>
              <w:spacing w:after="0"/>
              <w:ind w:left="0"/>
              <w:jc w:val="left"/>
              <w:rPr>
                <w:rFonts w:cstheme="minorHAnsi"/>
                <w:kern w:val="0"/>
              </w:rPr>
            </w:pPr>
            <w:r w:rsidRPr="00053523">
              <w:rPr>
                <w:rFonts w:cstheme="minorHAnsi"/>
                <w:kern w:val="0"/>
              </w:rPr>
              <w:t>emphasis on scale</w:t>
            </w:r>
          </w:p>
          <w:p w14:paraId="7AAD2218" w14:textId="77777777" w:rsidR="006B1C51" w:rsidRPr="00053523" w:rsidRDefault="006B1C51" w:rsidP="00431843">
            <w:pPr>
              <w:ind w:left="0"/>
              <w:rPr>
                <w:rFonts w:cstheme="minorHAnsi"/>
                <w:b/>
                <w:bCs/>
                <w:color w:val="FF0000"/>
              </w:rPr>
            </w:pPr>
          </w:p>
        </w:tc>
        <w:tc>
          <w:tcPr>
            <w:tcW w:w="2256" w:type="dxa"/>
          </w:tcPr>
          <w:p w14:paraId="5F01DB2B" w14:textId="6D92311C" w:rsidR="006B1C51" w:rsidRPr="00053523" w:rsidRDefault="00053523" w:rsidP="00431843">
            <w:pPr>
              <w:ind w:left="0"/>
              <w:rPr>
                <w:rFonts w:cstheme="minorHAnsi"/>
                <w:b/>
                <w:bCs/>
                <w:color w:val="FF0000"/>
              </w:rPr>
            </w:pPr>
            <w:r w:rsidRPr="00053523">
              <w:rPr>
                <w:rFonts w:cstheme="minorHAnsi"/>
                <w:kern w:val="0"/>
              </w:rPr>
              <w:t>Narrowing spreads</w:t>
            </w:r>
          </w:p>
        </w:tc>
      </w:tr>
      <w:tr w:rsidR="00502F1A" w:rsidRPr="00502F1A" w14:paraId="751A1624" w14:textId="77777777" w:rsidTr="00C86D9F">
        <w:tc>
          <w:tcPr>
            <w:tcW w:w="2263" w:type="dxa"/>
          </w:tcPr>
          <w:p w14:paraId="2F79202F" w14:textId="77777777" w:rsidR="00B6410C" w:rsidRPr="00053523" w:rsidRDefault="00B6410C" w:rsidP="00B6410C">
            <w:pPr>
              <w:autoSpaceDE w:val="0"/>
              <w:autoSpaceDN w:val="0"/>
              <w:adjustRightInd w:val="0"/>
              <w:spacing w:after="0"/>
              <w:ind w:left="0"/>
              <w:jc w:val="left"/>
              <w:rPr>
                <w:rFonts w:cstheme="minorHAnsi"/>
                <w:b/>
                <w:bCs/>
                <w:kern w:val="0"/>
              </w:rPr>
            </w:pPr>
            <w:r w:rsidRPr="00053523">
              <w:rPr>
                <w:rFonts w:cstheme="minorHAnsi"/>
                <w:b/>
                <w:bCs/>
                <w:kern w:val="0"/>
              </w:rPr>
              <w:t>Change Blockers</w:t>
            </w:r>
          </w:p>
          <w:p w14:paraId="2B9D2493" w14:textId="46FDE281" w:rsidR="006B1C51" w:rsidRPr="00053523" w:rsidRDefault="00B6410C" w:rsidP="00053523">
            <w:pPr>
              <w:autoSpaceDE w:val="0"/>
              <w:autoSpaceDN w:val="0"/>
              <w:adjustRightInd w:val="0"/>
              <w:spacing w:after="0"/>
              <w:ind w:left="0"/>
              <w:jc w:val="left"/>
              <w:rPr>
                <w:rFonts w:cstheme="minorHAnsi"/>
                <w:b/>
                <w:bCs/>
                <w:color w:val="FF0000"/>
              </w:rPr>
            </w:pPr>
            <w:r w:rsidRPr="00053523">
              <w:rPr>
                <w:rFonts w:cstheme="minorHAnsi"/>
                <w:kern w:val="0"/>
              </w:rPr>
              <w:lastRenderedPageBreak/>
              <w:t>Whom should we watch</w:t>
            </w:r>
            <w:r w:rsidR="00053523" w:rsidRPr="00053523">
              <w:rPr>
                <w:rFonts w:cstheme="minorHAnsi"/>
                <w:kern w:val="0"/>
              </w:rPr>
              <w:t xml:space="preserve"> </w:t>
            </w:r>
            <w:r w:rsidRPr="00053523">
              <w:rPr>
                <w:rFonts w:cstheme="minorHAnsi"/>
                <w:kern w:val="0"/>
              </w:rPr>
              <w:t>out for internally?</w:t>
            </w:r>
          </w:p>
        </w:tc>
        <w:tc>
          <w:tcPr>
            <w:tcW w:w="2259" w:type="dxa"/>
          </w:tcPr>
          <w:p w14:paraId="1954E94D" w14:textId="77777777" w:rsidR="00053523" w:rsidRPr="00053523" w:rsidRDefault="00053523" w:rsidP="00053523">
            <w:pPr>
              <w:autoSpaceDE w:val="0"/>
              <w:autoSpaceDN w:val="0"/>
              <w:adjustRightInd w:val="0"/>
              <w:spacing w:after="0"/>
              <w:ind w:left="0"/>
              <w:jc w:val="left"/>
              <w:rPr>
                <w:rFonts w:cstheme="minorHAnsi"/>
                <w:kern w:val="0"/>
              </w:rPr>
            </w:pPr>
            <w:r w:rsidRPr="00053523">
              <w:rPr>
                <w:rFonts w:cstheme="minorHAnsi"/>
                <w:kern w:val="0"/>
              </w:rPr>
              <w:lastRenderedPageBreak/>
              <w:t xml:space="preserve">Entrenched country chiefs </w:t>
            </w:r>
          </w:p>
          <w:p w14:paraId="4690DDB7" w14:textId="75FF277C" w:rsidR="006B1C51" w:rsidRPr="00053523" w:rsidRDefault="006B1C51" w:rsidP="00053523">
            <w:pPr>
              <w:autoSpaceDE w:val="0"/>
              <w:autoSpaceDN w:val="0"/>
              <w:adjustRightInd w:val="0"/>
              <w:spacing w:after="0"/>
              <w:ind w:left="0"/>
              <w:jc w:val="left"/>
              <w:rPr>
                <w:rFonts w:cstheme="minorHAnsi"/>
                <w:b/>
                <w:bCs/>
                <w:color w:val="FF0000"/>
              </w:rPr>
            </w:pPr>
          </w:p>
        </w:tc>
        <w:tc>
          <w:tcPr>
            <w:tcW w:w="2283" w:type="dxa"/>
          </w:tcPr>
          <w:p w14:paraId="7F6451E4" w14:textId="77777777" w:rsidR="00053523" w:rsidRPr="00053523" w:rsidRDefault="00053523" w:rsidP="00053523">
            <w:pPr>
              <w:autoSpaceDE w:val="0"/>
              <w:autoSpaceDN w:val="0"/>
              <w:adjustRightInd w:val="0"/>
              <w:spacing w:after="0"/>
              <w:ind w:left="0"/>
              <w:jc w:val="left"/>
              <w:rPr>
                <w:rFonts w:cstheme="minorHAnsi"/>
                <w:kern w:val="0"/>
              </w:rPr>
            </w:pPr>
            <w:r w:rsidRPr="00053523">
              <w:rPr>
                <w:rFonts w:cstheme="minorHAnsi"/>
                <w:kern w:val="0"/>
              </w:rPr>
              <w:t>All powerful unit, regional, or</w:t>
            </w:r>
          </w:p>
          <w:p w14:paraId="46A69E53" w14:textId="77777777" w:rsidR="00053523" w:rsidRPr="00053523" w:rsidRDefault="00053523" w:rsidP="00053523">
            <w:pPr>
              <w:autoSpaceDE w:val="0"/>
              <w:autoSpaceDN w:val="0"/>
              <w:adjustRightInd w:val="0"/>
              <w:spacing w:after="0"/>
              <w:ind w:left="0"/>
              <w:jc w:val="left"/>
              <w:rPr>
                <w:rFonts w:cstheme="minorHAnsi"/>
                <w:kern w:val="0"/>
              </w:rPr>
            </w:pPr>
            <w:r w:rsidRPr="00053523">
              <w:rPr>
                <w:rFonts w:cstheme="minorHAnsi"/>
                <w:kern w:val="0"/>
              </w:rPr>
              <w:t>account heads</w:t>
            </w:r>
          </w:p>
          <w:p w14:paraId="3E9685CE" w14:textId="77777777" w:rsidR="006B1C51" w:rsidRPr="00053523" w:rsidRDefault="006B1C51" w:rsidP="00431843">
            <w:pPr>
              <w:ind w:left="0"/>
              <w:rPr>
                <w:rFonts w:cstheme="minorHAnsi"/>
                <w:b/>
                <w:bCs/>
                <w:color w:val="FF0000"/>
              </w:rPr>
            </w:pPr>
          </w:p>
        </w:tc>
        <w:tc>
          <w:tcPr>
            <w:tcW w:w="2256" w:type="dxa"/>
          </w:tcPr>
          <w:p w14:paraId="2F97FEE3" w14:textId="589AB562" w:rsidR="006B1C51" w:rsidRPr="00053523" w:rsidRDefault="00053523" w:rsidP="00431843">
            <w:pPr>
              <w:ind w:left="0"/>
              <w:rPr>
                <w:rFonts w:cstheme="minorHAnsi"/>
                <w:b/>
                <w:bCs/>
                <w:color w:val="FF0000"/>
              </w:rPr>
            </w:pPr>
            <w:r w:rsidRPr="00053523">
              <w:rPr>
                <w:rFonts w:cstheme="minorHAnsi"/>
                <w:kern w:val="0"/>
              </w:rPr>
              <w:lastRenderedPageBreak/>
              <w:t>Heads of key functions</w:t>
            </w:r>
          </w:p>
        </w:tc>
      </w:tr>
      <w:tr w:rsidR="00502F1A" w:rsidRPr="00502F1A" w14:paraId="0409C41B" w14:textId="77777777" w:rsidTr="00C86D9F">
        <w:tc>
          <w:tcPr>
            <w:tcW w:w="2263" w:type="dxa"/>
          </w:tcPr>
          <w:p w14:paraId="75AF85D5" w14:textId="77777777" w:rsidR="00B6410C" w:rsidRPr="00053523" w:rsidRDefault="00B6410C" w:rsidP="00B6410C">
            <w:pPr>
              <w:autoSpaceDE w:val="0"/>
              <w:autoSpaceDN w:val="0"/>
              <w:adjustRightInd w:val="0"/>
              <w:spacing w:after="0"/>
              <w:ind w:left="0"/>
              <w:jc w:val="left"/>
              <w:rPr>
                <w:rFonts w:cstheme="minorHAnsi"/>
                <w:b/>
                <w:bCs/>
                <w:kern w:val="0"/>
              </w:rPr>
            </w:pPr>
            <w:r w:rsidRPr="00053523">
              <w:rPr>
                <w:rFonts w:cstheme="minorHAnsi"/>
                <w:b/>
                <w:bCs/>
                <w:kern w:val="0"/>
              </w:rPr>
              <w:t>Corporate Diplomacy</w:t>
            </w:r>
          </w:p>
          <w:p w14:paraId="04D04E74" w14:textId="327EB9DE" w:rsidR="006B1C51" w:rsidRPr="00053523" w:rsidRDefault="00B6410C" w:rsidP="00053523">
            <w:pPr>
              <w:autoSpaceDE w:val="0"/>
              <w:autoSpaceDN w:val="0"/>
              <w:adjustRightInd w:val="0"/>
              <w:spacing w:after="0"/>
              <w:ind w:left="0"/>
              <w:jc w:val="left"/>
              <w:rPr>
                <w:rFonts w:cstheme="minorHAnsi"/>
                <w:b/>
                <w:bCs/>
                <w:color w:val="FF0000"/>
              </w:rPr>
            </w:pPr>
            <w:r w:rsidRPr="00053523">
              <w:rPr>
                <w:rFonts w:cstheme="minorHAnsi"/>
                <w:kern w:val="0"/>
              </w:rPr>
              <w:t>How should we approach</w:t>
            </w:r>
            <w:r w:rsidR="00053523">
              <w:rPr>
                <w:rFonts w:cstheme="minorHAnsi"/>
                <w:kern w:val="0"/>
              </w:rPr>
              <w:t xml:space="preserve"> </w:t>
            </w:r>
            <w:r w:rsidRPr="00053523">
              <w:rPr>
                <w:rFonts w:cstheme="minorHAnsi"/>
                <w:kern w:val="0"/>
              </w:rPr>
              <w:t>corporate diplomacy?</w:t>
            </w:r>
          </w:p>
        </w:tc>
        <w:tc>
          <w:tcPr>
            <w:tcW w:w="2259" w:type="dxa"/>
          </w:tcPr>
          <w:p w14:paraId="465E76DB" w14:textId="2DA8E153" w:rsidR="006B1C51" w:rsidRPr="00053523" w:rsidRDefault="00053523" w:rsidP="00053523">
            <w:pPr>
              <w:ind w:left="0"/>
              <w:jc w:val="left"/>
              <w:rPr>
                <w:rFonts w:cstheme="minorHAnsi"/>
                <w:b/>
                <w:bCs/>
                <w:color w:val="FF0000"/>
              </w:rPr>
            </w:pPr>
            <w:r w:rsidRPr="00053523">
              <w:rPr>
                <w:rFonts w:cstheme="minorHAnsi"/>
              </w:rPr>
              <w:t>Address issues of concern, but</w:t>
            </w:r>
            <w:r>
              <w:rPr>
                <w:rFonts w:cstheme="minorHAnsi"/>
              </w:rPr>
              <w:t xml:space="preserve"> </w:t>
            </w:r>
            <w:r w:rsidRPr="00053523">
              <w:rPr>
                <w:rFonts w:cstheme="minorHAnsi"/>
              </w:rPr>
              <w:t>proceed with discretion, given the</w:t>
            </w:r>
            <w:r>
              <w:rPr>
                <w:rFonts w:cstheme="minorHAnsi"/>
              </w:rPr>
              <w:t xml:space="preserve"> </w:t>
            </w:r>
            <w:r w:rsidRPr="00053523">
              <w:rPr>
                <w:rFonts w:cstheme="minorHAnsi"/>
              </w:rPr>
              <w:t>emphasis on cultivating local</w:t>
            </w:r>
            <w:r>
              <w:rPr>
                <w:rFonts w:cstheme="minorHAnsi"/>
              </w:rPr>
              <w:t xml:space="preserve"> </w:t>
            </w:r>
            <w:r w:rsidRPr="00053523">
              <w:rPr>
                <w:rFonts w:cstheme="minorHAnsi"/>
              </w:rPr>
              <w:t>presence</w:t>
            </w:r>
            <w:r>
              <w:rPr>
                <w:rFonts w:cstheme="minorHAnsi"/>
              </w:rPr>
              <w:t>.</w:t>
            </w:r>
          </w:p>
        </w:tc>
        <w:tc>
          <w:tcPr>
            <w:tcW w:w="2283" w:type="dxa"/>
          </w:tcPr>
          <w:p w14:paraId="31028AAC" w14:textId="6F4FB1C8" w:rsidR="006B1C51" w:rsidRPr="00053523" w:rsidRDefault="00053523" w:rsidP="00053523">
            <w:pPr>
              <w:ind w:left="0"/>
              <w:jc w:val="left"/>
              <w:rPr>
                <w:rFonts w:cstheme="minorHAnsi"/>
                <w:b/>
                <w:bCs/>
                <w:color w:val="FF0000"/>
              </w:rPr>
            </w:pPr>
            <w:r w:rsidRPr="00053523">
              <w:rPr>
                <w:rFonts w:cstheme="minorHAnsi"/>
              </w:rPr>
              <w:t>Avoid the appearance of</w:t>
            </w:r>
            <w:r>
              <w:rPr>
                <w:rFonts w:cstheme="minorHAnsi"/>
              </w:rPr>
              <w:t xml:space="preserve"> </w:t>
            </w:r>
            <w:r w:rsidRPr="00053523">
              <w:rPr>
                <w:rFonts w:cstheme="minorHAnsi"/>
              </w:rPr>
              <w:t>homogenization or hegemonism</w:t>
            </w:r>
            <w:r>
              <w:rPr>
                <w:rFonts w:cstheme="minorHAnsi"/>
              </w:rPr>
              <w:t xml:space="preserve"> </w:t>
            </w:r>
            <w:r w:rsidRPr="00053523">
              <w:rPr>
                <w:rFonts w:cstheme="minorHAnsi"/>
              </w:rPr>
              <w:t>(</w:t>
            </w:r>
            <w:r w:rsidRPr="00053523">
              <w:rPr>
                <w:rFonts w:cstheme="minorHAnsi"/>
              </w:rPr>
              <w:t>Especially</w:t>
            </w:r>
            <w:r w:rsidRPr="00053523">
              <w:rPr>
                <w:rFonts w:cstheme="minorHAnsi"/>
              </w:rPr>
              <w:t xml:space="preserve"> in US companies); be</w:t>
            </w:r>
            <w:r>
              <w:rPr>
                <w:rFonts w:cstheme="minorHAnsi"/>
              </w:rPr>
              <w:t xml:space="preserve"> </w:t>
            </w:r>
            <w:r w:rsidRPr="00053523">
              <w:rPr>
                <w:rFonts w:cstheme="minorHAnsi"/>
              </w:rPr>
              <w:t>sensitive to any backlash</w:t>
            </w:r>
            <w:r>
              <w:rPr>
                <w:rFonts w:cstheme="minorHAnsi"/>
              </w:rPr>
              <w:t xml:space="preserve">. </w:t>
            </w:r>
          </w:p>
        </w:tc>
        <w:tc>
          <w:tcPr>
            <w:tcW w:w="2256" w:type="dxa"/>
          </w:tcPr>
          <w:p w14:paraId="202A48BE" w14:textId="77777777" w:rsidR="00053523" w:rsidRPr="00053523" w:rsidRDefault="00053523" w:rsidP="00053523">
            <w:pPr>
              <w:spacing w:after="0"/>
              <w:ind w:left="0"/>
              <w:rPr>
                <w:rFonts w:cstheme="minorHAnsi"/>
              </w:rPr>
            </w:pPr>
            <w:r w:rsidRPr="00053523">
              <w:rPr>
                <w:rFonts w:cstheme="minorHAnsi"/>
              </w:rPr>
              <w:t>Address the exploitation or</w:t>
            </w:r>
          </w:p>
          <w:p w14:paraId="45F1C46E" w14:textId="5718DD5A" w:rsidR="00053523" w:rsidRPr="00053523" w:rsidRDefault="00053523" w:rsidP="00053523">
            <w:pPr>
              <w:spacing w:after="0"/>
              <w:ind w:left="0"/>
              <w:rPr>
                <w:rFonts w:cstheme="minorHAnsi"/>
              </w:rPr>
            </w:pPr>
            <w:r w:rsidRPr="00053523">
              <w:rPr>
                <w:rFonts w:cstheme="minorHAnsi"/>
              </w:rPr>
              <w:t>displacement of suppliers,</w:t>
            </w:r>
            <w:r>
              <w:rPr>
                <w:rFonts w:cstheme="minorHAnsi"/>
              </w:rPr>
              <w:t xml:space="preserve"> </w:t>
            </w:r>
            <w:r w:rsidRPr="00053523">
              <w:rPr>
                <w:rFonts w:cstheme="minorHAnsi"/>
              </w:rPr>
              <w:t>channels, or intermediaries, which</w:t>
            </w:r>
          </w:p>
          <w:p w14:paraId="498EBD87" w14:textId="01806A44" w:rsidR="006B1C51" w:rsidRPr="00053523" w:rsidRDefault="00053523" w:rsidP="00053523">
            <w:pPr>
              <w:spacing w:after="0"/>
              <w:ind w:left="0"/>
              <w:rPr>
                <w:rFonts w:cstheme="minorHAnsi"/>
                <w:b/>
                <w:bCs/>
                <w:color w:val="FF0000"/>
              </w:rPr>
            </w:pPr>
            <w:r w:rsidRPr="00053523">
              <w:rPr>
                <w:rFonts w:cstheme="minorHAnsi"/>
              </w:rPr>
              <w:t>are potentially most probe to</w:t>
            </w:r>
            <w:r>
              <w:rPr>
                <w:rFonts w:cstheme="minorHAnsi"/>
              </w:rPr>
              <w:t xml:space="preserve"> </w:t>
            </w:r>
            <w:r w:rsidRPr="00053523">
              <w:rPr>
                <w:rFonts w:cstheme="minorHAnsi"/>
              </w:rPr>
              <w:t>political disruption</w:t>
            </w:r>
          </w:p>
        </w:tc>
      </w:tr>
      <w:tr w:rsidR="00502F1A" w:rsidRPr="00502F1A" w14:paraId="2C966878" w14:textId="77777777" w:rsidTr="00C86D9F">
        <w:tc>
          <w:tcPr>
            <w:tcW w:w="2263" w:type="dxa"/>
          </w:tcPr>
          <w:p w14:paraId="7FAF108E" w14:textId="77777777" w:rsidR="00B6410C" w:rsidRPr="00053523" w:rsidRDefault="00B6410C" w:rsidP="00B6410C">
            <w:pPr>
              <w:autoSpaceDE w:val="0"/>
              <w:autoSpaceDN w:val="0"/>
              <w:adjustRightInd w:val="0"/>
              <w:spacing w:after="0"/>
              <w:ind w:left="0"/>
              <w:jc w:val="left"/>
              <w:rPr>
                <w:rFonts w:cstheme="minorHAnsi"/>
                <w:b/>
                <w:bCs/>
                <w:kern w:val="0"/>
              </w:rPr>
            </w:pPr>
            <w:r w:rsidRPr="00053523">
              <w:rPr>
                <w:rFonts w:cstheme="minorHAnsi"/>
                <w:b/>
                <w:bCs/>
                <w:kern w:val="0"/>
              </w:rPr>
              <w:t>Corporate Strategy</w:t>
            </w:r>
          </w:p>
          <w:p w14:paraId="05B4EE0B" w14:textId="0D0A03DD" w:rsidR="006B1C51" w:rsidRPr="00053523" w:rsidRDefault="00B6410C" w:rsidP="00053523">
            <w:pPr>
              <w:autoSpaceDE w:val="0"/>
              <w:autoSpaceDN w:val="0"/>
              <w:adjustRightInd w:val="0"/>
              <w:spacing w:after="0"/>
              <w:ind w:left="0"/>
              <w:jc w:val="left"/>
              <w:rPr>
                <w:rFonts w:cstheme="minorHAnsi"/>
                <w:b/>
                <w:bCs/>
                <w:color w:val="FF0000"/>
              </w:rPr>
            </w:pPr>
            <w:r w:rsidRPr="00053523">
              <w:rPr>
                <w:rFonts w:cstheme="minorHAnsi"/>
                <w:kern w:val="0"/>
              </w:rPr>
              <w:t>What strategic levers do</w:t>
            </w:r>
            <w:r w:rsidR="00053523">
              <w:rPr>
                <w:rFonts w:cstheme="minorHAnsi"/>
                <w:kern w:val="0"/>
              </w:rPr>
              <w:t xml:space="preserve"> </w:t>
            </w:r>
            <w:r w:rsidRPr="00053523">
              <w:rPr>
                <w:rFonts w:cstheme="minorHAnsi"/>
                <w:kern w:val="0"/>
              </w:rPr>
              <w:t>we have?</w:t>
            </w:r>
          </w:p>
        </w:tc>
        <w:tc>
          <w:tcPr>
            <w:tcW w:w="2259" w:type="dxa"/>
          </w:tcPr>
          <w:p w14:paraId="091CD23F" w14:textId="77777777" w:rsidR="006B1C51" w:rsidRPr="00053523" w:rsidRDefault="006B1C51" w:rsidP="00431843">
            <w:pPr>
              <w:ind w:left="0"/>
              <w:rPr>
                <w:rFonts w:cstheme="minorHAnsi"/>
                <w:b/>
                <w:bCs/>
                <w:color w:val="FF0000"/>
              </w:rPr>
            </w:pPr>
          </w:p>
        </w:tc>
        <w:tc>
          <w:tcPr>
            <w:tcW w:w="2283" w:type="dxa"/>
          </w:tcPr>
          <w:p w14:paraId="31BA81D8" w14:textId="77777777" w:rsidR="006B1C51" w:rsidRPr="00053523" w:rsidRDefault="006B1C51" w:rsidP="00431843">
            <w:pPr>
              <w:ind w:left="0"/>
              <w:rPr>
                <w:rFonts w:cstheme="minorHAnsi"/>
                <w:b/>
                <w:bCs/>
                <w:color w:val="FF0000"/>
              </w:rPr>
            </w:pPr>
          </w:p>
        </w:tc>
        <w:tc>
          <w:tcPr>
            <w:tcW w:w="2256" w:type="dxa"/>
          </w:tcPr>
          <w:p w14:paraId="5B1415D5" w14:textId="77777777" w:rsidR="006B1C51" w:rsidRPr="00053523" w:rsidRDefault="006B1C51" w:rsidP="00431843">
            <w:pPr>
              <w:ind w:left="0"/>
              <w:rPr>
                <w:rFonts w:cstheme="minorHAnsi"/>
                <w:b/>
                <w:bCs/>
                <w:color w:val="FF0000"/>
              </w:rPr>
            </w:pPr>
          </w:p>
        </w:tc>
      </w:tr>
    </w:tbl>
    <w:p w14:paraId="0DF71ED0" w14:textId="77777777" w:rsidR="00F10750" w:rsidRDefault="00F10750" w:rsidP="00F10750">
      <w:pPr>
        <w:ind w:left="0"/>
        <w:rPr>
          <w:b/>
          <w:bCs/>
          <w:color w:val="FF0000"/>
          <w:sz w:val="28"/>
          <w:szCs w:val="28"/>
        </w:rPr>
      </w:pPr>
    </w:p>
    <w:p w14:paraId="23C66E56" w14:textId="75E8A313" w:rsidR="00F10750" w:rsidRDefault="00F10750" w:rsidP="00644610">
      <w:r w:rsidRPr="00F10750">
        <w:t>The AAA Triangle serves as a kind of</w:t>
      </w:r>
      <w:r>
        <w:t xml:space="preserve"> </w:t>
      </w:r>
      <w:r w:rsidRPr="00F10750">
        <w:t>strategy map for managers. The percentage</w:t>
      </w:r>
      <w:r>
        <w:t xml:space="preserve"> </w:t>
      </w:r>
      <w:r w:rsidRPr="00F10750">
        <w:t>of sales pent on advertising indicates how</w:t>
      </w:r>
      <w:r>
        <w:t xml:space="preserve"> </w:t>
      </w:r>
      <w:r w:rsidRPr="00F10750">
        <w:t>important adaptation is likely to be for the</w:t>
      </w:r>
      <w:r>
        <w:t xml:space="preserve"> </w:t>
      </w:r>
      <w:r w:rsidRPr="00F10750">
        <w:t>company; the percentage spent on R&amp;D</w:t>
      </w:r>
      <w:r>
        <w:t xml:space="preserve"> </w:t>
      </w:r>
      <w:r w:rsidRPr="00F10750">
        <w:t>is a proxy for the importance of aggregation;</w:t>
      </w:r>
      <w:r>
        <w:t xml:space="preserve"> </w:t>
      </w:r>
      <w:r w:rsidRPr="00F10750">
        <w:t xml:space="preserve">and the percentage spent on </w:t>
      </w:r>
      <w:r w:rsidRPr="00F10750">
        <w:t>labour</w:t>
      </w:r>
      <w:r w:rsidRPr="00F10750">
        <w:t xml:space="preserve"> helps</w:t>
      </w:r>
      <w:r>
        <w:t xml:space="preserve"> </w:t>
      </w:r>
      <w:r w:rsidRPr="00F10750">
        <w:t>gauge the importance of arbitrage.</w:t>
      </w:r>
    </w:p>
    <w:p w14:paraId="380DEFE7" w14:textId="1EB10E7B" w:rsidR="00644610" w:rsidRPr="00644610" w:rsidRDefault="00644610" w:rsidP="00644610">
      <w:pPr>
        <w:rPr>
          <w:b/>
          <w:bCs/>
          <w:color w:val="FF0000"/>
          <w:sz w:val="24"/>
          <w:szCs w:val="24"/>
        </w:rPr>
      </w:pPr>
      <w:r w:rsidRPr="00644610">
        <w:rPr>
          <w:b/>
          <w:bCs/>
          <w:color w:val="FF0000"/>
          <w:sz w:val="24"/>
          <w:szCs w:val="24"/>
        </w:rPr>
        <w:t xml:space="preserve">PS: </w:t>
      </w:r>
      <w:r w:rsidRPr="00644610">
        <w:rPr>
          <w:b/>
          <w:bCs/>
          <w:color w:val="FF0000"/>
          <w:sz w:val="24"/>
          <w:szCs w:val="24"/>
        </w:rPr>
        <w:t>pay attention to any scores</w:t>
      </w:r>
      <w:r w:rsidRPr="00644610">
        <w:rPr>
          <w:b/>
          <w:bCs/>
          <w:color w:val="FF0000"/>
          <w:sz w:val="24"/>
          <w:szCs w:val="24"/>
        </w:rPr>
        <w:t xml:space="preserve"> </w:t>
      </w:r>
      <w:r w:rsidRPr="00644610">
        <w:rPr>
          <w:b/>
          <w:bCs/>
          <w:color w:val="FF0000"/>
          <w:sz w:val="24"/>
          <w:szCs w:val="24"/>
        </w:rPr>
        <w:t xml:space="preserve">above the median because, most likely </w:t>
      </w:r>
      <w:r w:rsidRPr="00644610">
        <w:rPr>
          <w:b/>
          <w:bCs/>
          <w:color w:val="FF0000"/>
          <w:sz w:val="24"/>
          <w:szCs w:val="24"/>
        </w:rPr>
        <w:t>those are</w:t>
      </w:r>
      <w:r w:rsidRPr="00644610">
        <w:rPr>
          <w:b/>
          <w:bCs/>
          <w:color w:val="FF0000"/>
          <w:sz w:val="24"/>
          <w:szCs w:val="24"/>
        </w:rPr>
        <w:t xml:space="preserve"> areas that merit strategic focus. Scores</w:t>
      </w:r>
      <w:r w:rsidRPr="00644610">
        <w:rPr>
          <w:b/>
          <w:bCs/>
          <w:color w:val="FF0000"/>
          <w:sz w:val="24"/>
          <w:szCs w:val="24"/>
        </w:rPr>
        <w:t xml:space="preserve"> </w:t>
      </w:r>
      <w:r w:rsidRPr="00644610">
        <w:rPr>
          <w:b/>
          <w:bCs/>
          <w:color w:val="FF0000"/>
          <w:sz w:val="24"/>
          <w:szCs w:val="24"/>
        </w:rPr>
        <w:t>above the 90th percentile may be perilous to ignore.</w:t>
      </w:r>
    </w:p>
    <w:p w14:paraId="5CD0BC6F" w14:textId="77777777" w:rsidR="00F10750" w:rsidRDefault="00F10750" w:rsidP="00431843">
      <w:pPr>
        <w:rPr>
          <w:b/>
          <w:bCs/>
          <w:color w:val="FF0000"/>
          <w:sz w:val="28"/>
          <w:szCs w:val="28"/>
        </w:rPr>
      </w:pPr>
    </w:p>
    <w:p w14:paraId="02EDC75F" w14:textId="4484F3EC" w:rsidR="00DD6BB2" w:rsidRPr="00734EF9" w:rsidRDefault="00DD6BB2" w:rsidP="00431843">
      <w:pPr>
        <w:rPr>
          <w:b/>
          <w:bCs/>
          <w:color w:val="FF0000"/>
          <w:sz w:val="28"/>
          <w:szCs w:val="28"/>
        </w:rPr>
      </w:pPr>
      <w:r>
        <w:rPr>
          <w:b/>
          <w:bCs/>
          <w:noProof/>
          <w:color w:val="FF0000"/>
          <w:sz w:val="28"/>
          <w:szCs w:val="28"/>
        </w:rPr>
        <w:drawing>
          <wp:inline distT="0" distB="0" distL="0" distR="0" wp14:anchorId="3B8E78E1" wp14:editId="691F6EC0">
            <wp:extent cx="5486400" cy="3200400"/>
            <wp:effectExtent l="0" t="0" r="0" b="0"/>
            <wp:docPr id="1957667441"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sectPr w:rsidR="00DD6BB2" w:rsidRPr="00734EF9" w:rsidSect="0034003D">
      <w:headerReference w:type="default" r:id="rId1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747C7" w14:textId="77777777" w:rsidR="00DC7BFB" w:rsidRDefault="00DC7BFB" w:rsidP="00E5290B">
      <w:pPr>
        <w:spacing w:after="0"/>
      </w:pPr>
      <w:r>
        <w:separator/>
      </w:r>
    </w:p>
  </w:endnote>
  <w:endnote w:type="continuationSeparator" w:id="0">
    <w:p w14:paraId="72BF0B0B" w14:textId="77777777" w:rsidR="00DC7BFB" w:rsidRDefault="00DC7BFB" w:rsidP="00E529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5CC0B" w14:textId="77777777" w:rsidR="00DC7BFB" w:rsidRDefault="00DC7BFB" w:rsidP="00E5290B">
      <w:pPr>
        <w:spacing w:after="0"/>
      </w:pPr>
      <w:r>
        <w:separator/>
      </w:r>
    </w:p>
  </w:footnote>
  <w:footnote w:type="continuationSeparator" w:id="0">
    <w:p w14:paraId="447F7BFC" w14:textId="77777777" w:rsidR="00DC7BFB" w:rsidRDefault="00DC7BFB" w:rsidP="00E5290B">
      <w:pPr>
        <w:spacing w:after="0"/>
      </w:pPr>
      <w:r>
        <w:continuationSeparator/>
      </w:r>
    </w:p>
  </w:footnote>
  <w:footnote w:id="1">
    <w:p w14:paraId="12D5F943" w14:textId="6E2C978C" w:rsidR="00E5290B" w:rsidRPr="00E5290B" w:rsidRDefault="00E5290B" w:rsidP="00E5290B">
      <w:pPr>
        <w:pStyle w:val="Testonotaapidipagina"/>
        <w:ind w:left="0"/>
      </w:pPr>
      <w:r>
        <w:rPr>
          <w:rStyle w:val="Rimandonotaapidipagina"/>
        </w:rPr>
        <w:footnoteRef/>
      </w:r>
      <w:r>
        <w:t xml:space="preserve"> Crowther, P. (2008), “The five competitive forces that shape strategy”, Harvard Business Review, Vol. 86 No. 1, pp. 78-93, Editor’s note, edited by M.E. Porter.</w:t>
      </w:r>
    </w:p>
  </w:footnote>
  <w:footnote w:id="2">
    <w:p w14:paraId="30D9B49C" w14:textId="7BB2A9F8" w:rsidR="00E5290B" w:rsidRPr="00E5290B" w:rsidRDefault="00E5290B" w:rsidP="00E5290B">
      <w:pPr>
        <w:pStyle w:val="Testonotaapidipagina"/>
        <w:ind w:left="0"/>
      </w:pPr>
      <w:r>
        <w:rPr>
          <w:rStyle w:val="Rimandonotaapidipagina"/>
        </w:rPr>
        <w:footnoteRef/>
      </w:r>
      <w:r>
        <w:t xml:space="preserve"> Magretta, J. (2012), Understanding Michael Porter: The Essential Guide to Competition and Strategy, Harvard Business Review Press, Boston, MA.</w:t>
      </w:r>
    </w:p>
  </w:footnote>
  <w:footnote w:id="3">
    <w:p w14:paraId="51FDECBF" w14:textId="6F2444FE" w:rsidR="00E5290B" w:rsidRPr="00E5290B" w:rsidRDefault="00E5290B" w:rsidP="00E5290B">
      <w:pPr>
        <w:pStyle w:val="Testonotaapidipagina"/>
        <w:ind w:left="0"/>
        <w:rPr>
          <w:lang w:val="it-IT"/>
        </w:rPr>
      </w:pPr>
      <w:r>
        <w:rPr>
          <w:rStyle w:val="Rimandonotaapidipagina"/>
        </w:rPr>
        <w:footnoteRef/>
      </w:r>
      <w:r>
        <w:t xml:space="preserve"> </w:t>
      </w:r>
      <w:r w:rsidRPr="00E5290B">
        <w:t>Porter, Michael E. "The five competitive forces that shape strategy." Harvard business review 86.1 (2008): 78.</w:t>
      </w:r>
    </w:p>
  </w:footnote>
  <w:footnote w:id="4">
    <w:p w14:paraId="72DBA299" w14:textId="5CA26BBA" w:rsidR="009161C0" w:rsidRPr="009161C0" w:rsidRDefault="009161C0" w:rsidP="009161C0">
      <w:pPr>
        <w:pStyle w:val="Testonotaapidipagina"/>
        <w:ind w:left="0"/>
        <w:rPr>
          <w:lang w:val="it-IT"/>
        </w:rPr>
      </w:pPr>
      <w:r>
        <w:rPr>
          <w:rStyle w:val="Rimandonotaapidipagina"/>
        </w:rPr>
        <w:footnoteRef/>
      </w:r>
      <w:r>
        <w:t xml:space="preserve"> </w:t>
      </w:r>
      <w:r w:rsidRPr="009161C0">
        <w:t>Ghemawat, Pankaj. "Managing differences: The central challenge of global strategy." Harvard business review 85.3 (2007): 58-68.</w:t>
      </w:r>
    </w:p>
  </w:footnote>
  <w:footnote w:id="5">
    <w:p w14:paraId="1B772B76" w14:textId="3CECBE2B" w:rsidR="009161C0" w:rsidRPr="009161C0" w:rsidRDefault="009161C0" w:rsidP="009161C0">
      <w:pPr>
        <w:pStyle w:val="Testonotaapidipagina"/>
        <w:ind w:left="0"/>
      </w:pPr>
      <w:r>
        <w:rPr>
          <w:rStyle w:val="Rimandonotaapidipagina"/>
        </w:rPr>
        <w:footnoteRef/>
      </w:r>
      <w:r>
        <w:t xml:space="preserve"> </w:t>
      </w:r>
      <w:r w:rsidRPr="009161C0">
        <w:t>Nel, Jessica Jane. "AAA framework-Adaptation, Aggregation and Arbitrage."</w:t>
      </w:r>
    </w:p>
  </w:footnote>
  <w:footnote w:id="6">
    <w:p w14:paraId="7BDE780C" w14:textId="3DC4AF88" w:rsidR="009161C0" w:rsidRPr="009161C0" w:rsidRDefault="009161C0" w:rsidP="009161C0">
      <w:pPr>
        <w:pStyle w:val="Testonotaapidipagina"/>
        <w:ind w:left="0"/>
        <w:rPr>
          <w:lang w:val="it-IT"/>
        </w:rPr>
      </w:pPr>
      <w:r>
        <w:rPr>
          <w:rStyle w:val="Rimandonotaapidipagina"/>
        </w:rPr>
        <w:footnoteRef/>
      </w:r>
      <w:r>
        <w:t xml:space="preserve"> </w:t>
      </w:r>
      <w:r w:rsidRPr="009161C0">
        <w:t xml:space="preserve">Berry, Heather, and Aseem Kaul. "Disaggregating </w:t>
      </w:r>
      <w:proofErr w:type="spellStart"/>
      <w:r w:rsidRPr="009161C0">
        <w:t>Multinationality</w:t>
      </w:r>
      <w:proofErr w:type="spellEnd"/>
      <w:r w:rsidRPr="009161C0">
        <w:t>: An Empirical Examination of Aggregation, Adaptation, and Arbitrage Activities by US Multinational Corporations." Strategy Science 7.2 (2022): 90-105.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7F83" w14:textId="7F2FF613" w:rsidR="000D27D5" w:rsidRDefault="00686750">
    <w:pPr>
      <w:pStyle w:val="Intestazione"/>
    </w:pPr>
    <w:r>
      <w:rPr>
        <w:noProof/>
      </w:rPr>
      <w:drawing>
        <wp:anchor distT="0" distB="0" distL="114300" distR="114300" simplePos="0" relativeHeight="251659264" behindDoc="0" locked="0" layoutInCell="1" allowOverlap="1" wp14:anchorId="6E003FCB" wp14:editId="42F17306">
          <wp:simplePos x="0" y="0"/>
          <wp:positionH relativeFrom="column">
            <wp:posOffset>4290060</wp:posOffset>
          </wp:positionH>
          <wp:positionV relativeFrom="paragraph">
            <wp:posOffset>-487680</wp:posOffset>
          </wp:positionV>
          <wp:extent cx="2628900" cy="876300"/>
          <wp:effectExtent l="0" t="0" r="0" b="0"/>
          <wp:wrapThrough wrapText="bothSides">
            <wp:wrapPolygon edited="0">
              <wp:start x="0" y="0"/>
              <wp:lineTo x="0" y="21130"/>
              <wp:lineTo x="21443" y="21130"/>
              <wp:lineTo x="21443" y="0"/>
              <wp:lineTo x="0" y="0"/>
            </wp:wrapPolygon>
          </wp:wrapThrough>
          <wp:docPr id="1015417072" name="Immagine 7" descr="Immagine che contiene testo, Carattere, Elementi grafici,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417072" name="Immagine 7" descr="Immagine che contiene testo, Carattere, Elementi grafici,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2628900" cy="876300"/>
                  </a:xfrm>
                  <a:prstGeom prst="rect">
                    <a:avLst/>
                  </a:prstGeom>
                </pic:spPr>
              </pic:pic>
            </a:graphicData>
          </a:graphic>
          <wp14:sizeRelH relativeFrom="margin">
            <wp14:pctWidth>0</wp14:pctWidth>
          </wp14:sizeRelH>
          <wp14:sizeRelV relativeFrom="margin">
            <wp14:pctHeight>0</wp14:pctHeight>
          </wp14:sizeRelV>
        </wp:anchor>
      </w:drawing>
    </w:r>
    <w:r w:rsidR="000D27D5">
      <w:rPr>
        <w:noProof/>
      </w:rPr>
      <w:drawing>
        <wp:anchor distT="0" distB="0" distL="114300" distR="114300" simplePos="0" relativeHeight="251658240" behindDoc="0" locked="0" layoutInCell="1" allowOverlap="1" wp14:anchorId="304F5475" wp14:editId="7150FCAA">
          <wp:simplePos x="0" y="0"/>
          <wp:positionH relativeFrom="margin">
            <wp:posOffset>-560070</wp:posOffset>
          </wp:positionH>
          <wp:positionV relativeFrom="margin">
            <wp:posOffset>-740410</wp:posOffset>
          </wp:positionV>
          <wp:extent cx="1431290" cy="537845"/>
          <wp:effectExtent l="0" t="0" r="0" b="0"/>
          <wp:wrapSquare wrapText="bothSides"/>
          <wp:docPr id="1669406058" name="Immagine 1" descr="Immagine che contiene Carattere, logo, testo,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406058" name="Immagine 1" descr="Immagine che contiene Carattere, logo, testo, Elementi grafici&#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1431290" cy="5378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17C66"/>
    <w:multiLevelType w:val="multilevel"/>
    <w:tmpl w:val="00D2B1E6"/>
    <w:lvl w:ilvl="0">
      <w:start w:val="1"/>
      <w:numFmt w:val="decimal"/>
      <w:pStyle w:val="Titolo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201237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843"/>
    <w:rsid w:val="000019CB"/>
    <w:rsid w:val="00015760"/>
    <w:rsid w:val="00017683"/>
    <w:rsid w:val="00040B0C"/>
    <w:rsid w:val="00053523"/>
    <w:rsid w:val="00077F89"/>
    <w:rsid w:val="000D27D5"/>
    <w:rsid w:val="000D3972"/>
    <w:rsid w:val="00112FE6"/>
    <w:rsid w:val="001516D0"/>
    <w:rsid w:val="001909D7"/>
    <w:rsid w:val="00196AD2"/>
    <w:rsid w:val="001C1C07"/>
    <w:rsid w:val="00211B11"/>
    <w:rsid w:val="002B4CCB"/>
    <w:rsid w:val="0034003D"/>
    <w:rsid w:val="003F223C"/>
    <w:rsid w:val="00431843"/>
    <w:rsid w:val="004E6BAB"/>
    <w:rsid w:val="00502F1A"/>
    <w:rsid w:val="00526C03"/>
    <w:rsid w:val="005A3000"/>
    <w:rsid w:val="0061592D"/>
    <w:rsid w:val="00644610"/>
    <w:rsid w:val="00650485"/>
    <w:rsid w:val="006754B9"/>
    <w:rsid w:val="00686750"/>
    <w:rsid w:val="006B1C51"/>
    <w:rsid w:val="006E0887"/>
    <w:rsid w:val="00732E2B"/>
    <w:rsid w:val="00734EF9"/>
    <w:rsid w:val="007468B2"/>
    <w:rsid w:val="009161C0"/>
    <w:rsid w:val="00AC541B"/>
    <w:rsid w:val="00B343A8"/>
    <w:rsid w:val="00B6410C"/>
    <w:rsid w:val="00BA2A8E"/>
    <w:rsid w:val="00BA6C5F"/>
    <w:rsid w:val="00C62B32"/>
    <w:rsid w:val="00C86D9F"/>
    <w:rsid w:val="00C930E1"/>
    <w:rsid w:val="00CC4595"/>
    <w:rsid w:val="00D45C6D"/>
    <w:rsid w:val="00D65CA7"/>
    <w:rsid w:val="00DC7BFB"/>
    <w:rsid w:val="00DD6BB2"/>
    <w:rsid w:val="00E5290B"/>
    <w:rsid w:val="00F10750"/>
    <w:rsid w:val="00F91F6B"/>
    <w:rsid w:val="00FC39DE"/>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B4169A"/>
  <w15:docId w15:val="{1F128330-116D-4B08-A16B-26BEEA273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754B9"/>
    <w:pPr>
      <w:spacing w:after="120" w:line="240" w:lineRule="auto"/>
      <w:ind w:left="567"/>
      <w:jc w:val="both"/>
    </w:pPr>
  </w:style>
  <w:style w:type="paragraph" w:styleId="Titolo1">
    <w:name w:val="heading 1"/>
    <w:basedOn w:val="Normale"/>
    <w:next w:val="Normale"/>
    <w:link w:val="Titolo1Carattere"/>
    <w:uiPriority w:val="9"/>
    <w:qFormat/>
    <w:rsid w:val="006754B9"/>
    <w:pPr>
      <w:keepNext/>
      <w:keepLines/>
      <w:numPr>
        <w:numId w:val="1"/>
      </w:numPr>
      <w:spacing w:before="240" w:after="240"/>
      <w:outlineLvl w:val="0"/>
    </w:pPr>
    <w:rPr>
      <w:rFonts w:eastAsiaTheme="majorEastAsia" w:cstheme="majorBidi"/>
      <w:b/>
      <w:color w:val="595959" w:themeColor="text1" w:themeTint="A6"/>
      <w:sz w:val="26"/>
      <w:szCs w:val="32"/>
    </w:rPr>
  </w:style>
  <w:style w:type="paragraph" w:styleId="Titolo2">
    <w:name w:val="heading 2"/>
    <w:basedOn w:val="Normale"/>
    <w:next w:val="Normale"/>
    <w:link w:val="Titolo2Carattere"/>
    <w:uiPriority w:val="9"/>
    <w:unhideWhenUsed/>
    <w:qFormat/>
    <w:rsid w:val="006754B9"/>
    <w:pPr>
      <w:keepNext/>
      <w:keepLines/>
      <w:spacing w:before="40"/>
      <w:ind w:left="57"/>
      <w:outlineLvl w:val="1"/>
    </w:pPr>
    <w:rPr>
      <w:rFonts w:eastAsiaTheme="majorEastAsia" w:cstheme="majorBidi"/>
      <w:b/>
      <w:color w:val="404040" w:themeColor="text1" w:themeTint="BF"/>
      <w:sz w:val="24"/>
      <w:szCs w:val="26"/>
    </w:rPr>
  </w:style>
  <w:style w:type="paragraph" w:styleId="Titolo3">
    <w:name w:val="heading 3"/>
    <w:basedOn w:val="Normale"/>
    <w:next w:val="Normale"/>
    <w:link w:val="Titolo3Carattere"/>
    <w:uiPriority w:val="9"/>
    <w:unhideWhenUsed/>
    <w:qFormat/>
    <w:rsid w:val="006754B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UWHeading2">
    <w:name w:val="_UW Heading 2"/>
    <w:basedOn w:val="Normale"/>
    <w:qFormat/>
    <w:rsid w:val="006754B9"/>
    <w:pPr>
      <w:spacing w:before="600" w:after="240"/>
    </w:pPr>
    <w:rPr>
      <w:rFonts w:ascii="Calibri" w:eastAsia="Calibri" w:hAnsi="Calibri" w:cs="Times New Roman"/>
      <w:b/>
      <w:color w:val="919297"/>
      <w:sz w:val="36"/>
    </w:rPr>
  </w:style>
  <w:style w:type="paragraph" w:customStyle="1" w:styleId="SCoverWP-ID">
    <w:name w:val="S Cover WP-ID"/>
    <w:basedOn w:val="Normale"/>
    <w:next w:val="Corpotesto"/>
    <w:qFormat/>
    <w:rsid w:val="006754B9"/>
    <w:pPr>
      <w:suppressAutoHyphens/>
      <w:spacing w:before="240" w:after="240"/>
      <w:ind w:left="62" w:right="62"/>
      <w:jc w:val="center"/>
    </w:pPr>
    <w:rPr>
      <w:rFonts w:ascii="Calibri" w:eastAsia="Times New Roman" w:hAnsi="Calibri" w:cs="Arial"/>
      <w:sz w:val="40"/>
    </w:rPr>
  </w:style>
  <w:style w:type="paragraph" w:styleId="Corpotesto">
    <w:name w:val="Body Text"/>
    <w:basedOn w:val="Normale"/>
    <w:link w:val="CorpotestoCarattere"/>
    <w:uiPriority w:val="1"/>
    <w:unhideWhenUsed/>
    <w:qFormat/>
    <w:rsid w:val="006754B9"/>
  </w:style>
  <w:style w:type="character" w:customStyle="1" w:styleId="CorpotestoCarattere">
    <w:name w:val="Corpo testo Carattere"/>
    <w:basedOn w:val="Carpredefinitoparagrafo"/>
    <w:link w:val="Corpotesto"/>
    <w:uiPriority w:val="1"/>
    <w:rsid w:val="006754B9"/>
  </w:style>
  <w:style w:type="paragraph" w:customStyle="1" w:styleId="SCoverDeliverableData">
    <w:name w:val="S Cover Deliverable Data"/>
    <w:basedOn w:val="Normale"/>
    <w:qFormat/>
    <w:rsid w:val="006754B9"/>
    <w:pPr>
      <w:suppressAutoHyphens/>
      <w:spacing w:before="120"/>
      <w:ind w:left="61" w:right="61"/>
      <w:jc w:val="center"/>
    </w:pPr>
    <w:rPr>
      <w:rFonts w:ascii="Calibri" w:eastAsia="Times New Roman" w:hAnsi="Calibri" w:cs="Arial"/>
    </w:rPr>
  </w:style>
  <w:style w:type="table" w:customStyle="1" w:styleId="TableNormal1">
    <w:name w:val="Table Normal1"/>
    <w:basedOn w:val="Grigliatabellachiara"/>
    <w:uiPriority w:val="2"/>
    <w:semiHidden/>
    <w:unhideWhenUsed/>
    <w:qFormat/>
    <w:rsid w:val="006754B9"/>
    <w:pPr>
      <w:widowControl w:val="0"/>
      <w:autoSpaceDE w:val="0"/>
      <w:autoSpaceDN w:val="0"/>
    </w:pPr>
    <w:rPr>
      <w:color w:val="404040" w:themeColor="text1" w:themeTint="BF"/>
      <w:lang w:val="en-US"/>
    </w:rPr>
    <w:tblPr>
      <w:tblBorders>
        <w:top w:val="single" w:sz="8" w:space="0" w:color="FF5050"/>
        <w:left w:val="single" w:sz="8" w:space="0" w:color="FF5050"/>
        <w:bottom w:val="single" w:sz="8" w:space="0" w:color="FF5050"/>
        <w:right w:val="single" w:sz="8" w:space="0" w:color="FF5050"/>
        <w:insideH w:val="single" w:sz="8" w:space="0" w:color="FF5050"/>
        <w:insideV w:val="single" w:sz="8" w:space="0" w:color="FF5050"/>
      </w:tblBorders>
      <w:tblCellMar>
        <w:left w:w="0" w:type="dxa"/>
        <w:right w:w="0" w:type="dxa"/>
      </w:tblCellMar>
    </w:tblPr>
    <w:tcPr>
      <w:shd w:val="clear" w:color="auto" w:fill="auto"/>
    </w:tcPr>
  </w:style>
  <w:style w:type="table" w:styleId="Grigliatabellachiara">
    <w:name w:val="Grid Table Light"/>
    <w:basedOn w:val="Tabellanormale"/>
    <w:uiPriority w:val="40"/>
    <w:rsid w:val="006754B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Paragraph">
    <w:name w:val="Table Paragraph"/>
    <w:basedOn w:val="Normale"/>
    <w:uiPriority w:val="1"/>
    <w:qFormat/>
    <w:rsid w:val="006754B9"/>
    <w:pPr>
      <w:widowControl w:val="0"/>
      <w:autoSpaceDE w:val="0"/>
      <w:autoSpaceDN w:val="0"/>
      <w:spacing w:after="0" w:line="265" w:lineRule="exact"/>
      <w:ind w:left="102"/>
      <w:jc w:val="left"/>
    </w:pPr>
    <w:rPr>
      <w:rFonts w:ascii="Calibri" w:eastAsia="Calibri" w:hAnsi="Calibri" w:cs="Calibri"/>
      <w:lang w:val="en-US" w:bidi="en-US"/>
    </w:rPr>
  </w:style>
  <w:style w:type="paragraph" w:customStyle="1" w:styleId="Default">
    <w:name w:val="Default"/>
    <w:rsid w:val="006754B9"/>
    <w:pPr>
      <w:autoSpaceDE w:val="0"/>
      <w:autoSpaceDN w:val="0"/>
      <w:adjustRightInd w:val="0"/>
      <w:spacing w:after="0" w:line="240" w:lineRule="auto"/>
    </w:pPr>
    <w:rPr>
      <w:rFonts w:ascii="Calibri" w:hAnsi="Calibri" w:cs="Calibri"/>
      <w:color w:val="000000"/>
      <w:sz w:val="24"/>
      <w:szCs w:val="24"/>
      <w:lang w:val="it-IT"/>
    </w:rPr>
  </w:style>
  <w:style w:type="paragraph" w:customStyle="1" w:styleId="UWIntroBody">
    <w:name w:val="_UW Intro Body"/>
    <w:basedOn w:val="Nessunaspaziatura"/>
    <w:qFormat/>
    <w:rsid w:val="006754B9"/>
    <w:pPr>
      <w:spacing w:before="240" w:after="120" w:line="276" w:lineRule="auto"/>
      <w:jc w:val="both"/>
    </w:pPr>
    <w:rPr>
      <w:rFonts w:ascii="Calibri" w:eastAsia="Times New Roman" w:hAnsi="Calibri" w:cs="Times New Roman"/>
      <w:b/>
      <w:sz w:val="28"/>
      <w:szCs w:val="48"/>
      <w:lang w:eastAsia="zh-CN"/>
    </w:rPr>
  </w:style>
  <w:style w:type="paragraph" w:styleId="Nessunaspaziatura">
    <w:name w:val="No Spacing"/>
    <w:link w:val="NessunaspaziaturaCarattere"/>
    <w:uiPriority w:val="1"/>
    <w:qFormat/>
    <w:rsid w:val="006754B9"/>
    <w:pPr>
      <w:spacing w:after="0" w:line="240" w:lineRule="auto"/>
    </w:pPr>
    <w:rPr>
      <w:rFonts w:eastAsiaTheme="minorEastAsia"/>
      <w:lang w:eastAsia="en-GB"/>
    </w:rPr>
  </w:style>
  <w:style w:type="character" w:customStyle="1" w:styleId="Titolo1Carattere">
    <w:name w:val="Titolo 1 Carattere"/>
    <w:basedOn w:val="Carpredefinitoparagrafo"/>
    <w:link w:val="Titolo1"/>
    <w:uiPriority w:val="9"/>
    <w:rsid w:val="006754B9"/>
    <w:rPr>
      <w:rFonts w:eastAsiaTheme="majorEastAsia" w:cstheme="majorBidi"/>
      <w:b/>
      <w:color w:val="595959" w:themeColor="text1" w:themeTint="A6"/>
      <w:sz w:val="26"/>
      <w:szCs w:val="32"/>
    </w:rPr>
  </w:style>
  <w:style w:type="character" w:customStyle="1" w:styleId="Titolo2Carattere">
    <w:name w:val="Titolo 2 Carattere"/>
    <w:basedOn w:val="Carpredefinitoparagrafo"/>
    <w:link w:val="Titolo2"/>
    <w:uiPriority w:val="9"/>
    <w:rsid w:val="006754B9"/>
    <w:rPr>
      <w:rFonts w:eastAsiaTheme="majorEastAsia" w:cstheme="majorBidi"/>
      <w:b/>
      <w:color w:val="404040" w:themeColor="text1" w:themeTint="BF"/>
      <w:sz w:val="24"/>
      <w:szCs w:val="26"/>
    </w:rPr>
  </w:style>
  <w:style w:type="character" w:customStyle="1" w:styleId="Titolo3Carattere">
    <w:name w:val="Titolo 3 Carattere"/>
    <w:basedOn w:val="Carpredefinitoparagrafo"/>
    <w:link w:val="Titolo3"/>
    <w:uiPriority w:val="9"/>
    <w:rsid w:val="006754B9"/>
    <w:rPr>
      <w:rFonts w:asciiTheme="majorHAnsi" w:eastAsiaTheme="majorEastAsia" w:hAnsiTheme="majorHAnsi" w:cstheme="majorBidi"/>
      <w:color w:val="1F3763" w:themeColor="accent1" w:themeShade="7F"/>
      <w:sz w:val="24"/>
      <w:szCs w:val="24"/>
    </w:rPr>
  </w:style>
  <w:style w:type="paragraph" w:styleId="Sommario1">
    <w:name w:val="toc 1"/>
    <w:basedOn w:val="Normale"/>
    <w:next w:val="Normale"/>
    <w:autoRedefine/>
    <w:uiPriority w:val="39"/>
    <w:unhideWhenUsed/>
    <w:rsid w:val="006754B9"/>
    <w:pPr>
      <w:tabs>
        <w:tab w:val="right" w:leader="dot" w:pos="9628"/>
      </w:tabs>
      <w:spacing w:after="100"/>
      <w:ind w:left="0"/>
    </w:pPr>
    <w:rPr>
      <w:b/>
    </w:rPr>
  </w:style>
  <w:style w:type="paragraph" w:styleId="Sommario2">
    <w:name w:val="toc 2"/>
    <w:basedOn w:val="Normale"/>
    <w:next w:val="Normale"/>
    <w:autoRedefine/>
    <w:uiPriority w:val="39"/>
    <w:unhideWhenUsed/>
    <w:rsid w:val="006754B9"/>
    <w:pPr>
      <w:tabs>
        <w:tab w:val="left" w:pos="880"/>
        <w:tab w:val="right" w:leader="dot" w:pos="9628"/>
      </w:tabs>
      <w:spacing w:after="100"/>
      <w:ind w:left="220"/>
    </w:pPr>
  </w:style>
  <w:style w:type="paragraph" w:styleId="Sommario3">
    <w:name w:val="toc 3"/>
    <w:basedOn w:val="Normale"/>
    <w:next w:val="Normale"/>
    <w:autoRedefine/>
    <w:uiPriority w:val="39"/>
    <w:unhideWhenUsed/>
    <w:rsid w:val="006754B9"/>
    <w:pPr>
      <w:spacing w:after="100"/>
      <w:ind w:left="440"/>
    </w:pPr>
  </w:style>
  <w:style w:type="paragraph" w:styleId="Testonotaapidipagina">
    <w:name w:val="footnote text"/>
    <w:basedOn w:val="Normale"/>
    <w:link w:val="TestonotaapidipaginaCarattere"/>
    <w:uiPriority w:val="99"/>
    <w:semiHidden/>
    <w:unhideWhenUsed/>
    <w:rsid w:val="006754B9"/>
    <w:pPr>
      <w:spacing w:after="0"/>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6754B9"/>
    <w:rPr>
      <w:sz w:val="20"/>
      <w:szCs w:val="20"/>
    </w:rPr>
  </w:style>
  <w:style w:type="paragraph" w:styleId="Testocommento">
    <w:name w:val="annotation text"/>
    <w:basedOn w:val="Normale"/>
    <w:link w:val="TestocommentoCarattere"/>
    <w:uiPriority w:val="99"/>
    <w:semiHidden/>
    <w:unhideWhenUsed/>
    <w:rsid w:val="006754B9"/>
    <w:rPr>
      <w:sz w:val="20"/>
      <w:szCs w:val="20"/>
    </w:rPr>
  </w:style>
  <w:style w:type="character" w:customStyle="1" w:styleId="TestocommentoCarattere">
    <w:name w:val="Testo commento Carattere"/>
    <w:basedOn w:val="Carpredefinitoparagrafo"/>
    <w:link w:val="Testocommento"/>
    <w:uiPriority w:val="99"/>
    <w:semiHidden/>
    <w:rsid w:val="006754B9"/>
    <w:rPr>
      <w:sz w:val="20"/>
      <w:szCs w:val="20"/>
    </w:rPr>
  </w:style>
  <w:style w:type="paragraph" w:styleId="Intestazione">
    <w:name w:val="header"/>
    <w:basedOn w:val="Normale"/>
    <w:link w:val="IntestazioneCarattere"/>
    <w:unhideWhenUsed/>
    <w:rsid w:val="006754B9"/>
    <w:pPr>
      <w:tabs>
        <w:tab w:val="center" w:pos="4819"/>
        <w:tab w:val="right" w:pos="9638"/>
      </w:tabs>
      <w:spacing w:after="0"/>
    </w:pPr>
  </w:style>
  <w:style w:type="character" w:customStyle="1" w:styleId="IntestazioneCarattere">
    <w:name w:val="Intestazione Carattere"/>
    <w:basedOn w:val="Carpredefinitoparagrafo"/>
    <w:link w:val="Intestazione"/>
    <w:rsid w:val="006754B9"/>
  </w:style>
  <w:style w:type="paragraph" w:styleId="Pidipagina">
    <w:name w:val="footer"/>
    <w:basedOn w:val="Normale"/>
    <w:link w:val="PidipaginaCarattere"/>
    <w:uiPriority w:val="99"/>
    <w:unhideWhenUsed/>
    <w:rsid w:val="006754B9"/>
    <w:pPr>
      <w:tabs>
        <w:tab w:val="center" w:pos="4819"/>
        <w:tab w:val="right" w:pos="9638"/>
      </w:tabs>
      <w:spacing w:after="0"/>
      <w:ind w:left="0"/>
    </w:pPr>
  </w:style>
  <w:style w:type="character" w:customStyle="1" w:styleId="PidipaginaCarattere">
    <w:name w:val="Piè di pagina Carattere"/>
    <w:basedOn w:val="Carpredefinitoparagrafo"/>
    <w:link w:val="Pidipagina"/>
    <w:uiPriority w:val="99"/>
    <w:rsid w:val="006754B9"/>
  </w:style>
  <w:style w:type="paragraph" w:styleId="Didascalia">
    <w:name w:val="caption"/>
    <w:basedOn w:val="Normale"/>
    <w:next w:val="Normale"/>
    <w:uiPriority w:val="35"/>
    <w:unhideWhenUsed/>
    <w:qFormat/>
    <w:rsid w:val="006754B9"/>
    <w:pPr>
      <w:spacing w:after="200"/>
      <w:jc w:val="center"/>
    </w:pPr>
    <w:rPr>
      <w:i/>
      <w:iCs/>
      <w:color w:val="595959" w:themeColor="text1" w:themeTint="A6"/>
      <w:sz w:val="18"/>
      <w:szCs w:val="18"/>
    </w:rPr>
  </w:style>
  <w:style w:type="paragraph" w:styleId="Indicedellefigure">
    <w:name w:val="table of figures"/>
    <w:basedOn w:val="Normale"/>
    <w:next w:val="Normale"/>
    <w:uiPriority w:val="99"/>
    <w:unhideWhenUsed/>
    <w:rsid w:val="006754B9"/>
    <w:pPr>
      <w:spacing w:after="0"/>
    </w:pPr>
  </w:style>
  <w:style w:type="character" w:styleId="Rimandonotaapidipagina">
    <w:name w:val="footnote reference"/>
    <w:basedOn w:val="Carpredefinitoparagrafo"/>
    <w:uiPriority w:val="99"/>
    <w:semiHidden/>
    <w:unhideWhenUsed/>
    <w:rsid w:val="006754B9"/>
    <w:rPr>
      <w:vertAlign w:val="superscript"/>
    </w:rPr>
  </w:style>
  <w:style w:type="character" w:styleId="Rimandocommento">
    <w:name w:val="annotation reference"/>
    <w:basedOn w:val="Carpredefinitoparagrafo"/>
    <w:uiPriority w:val="99"/>
    <w:semiHidden/>
    <w:unhideWhenUsed/>
    <w:rsid w:val="006754B9"/>
    <w:rPr>
      <w:sz w:val="16"/>
      <w:szCs w:val="16"/>
    </w:rPr>
  </w:style>
  <w:style w:type="character" w:styleId="Collegamentoipertestuale">
    <w:name w:val="Hyperlink"/>
    <w:basedOn w:val="Carpredefinitoparagrafo"/>
    <w:uiPriority w:val="99"/>
    <w:unhideWhenUsed/>
    <w:rsid w:val="006754B9"/>
    <w:rPr>
      <w:color w:val="0563C1" w:themeColor="hyperlink"/>
      <w:u w:val="single"/>
    </w:rPr>
  </w:style>
  <w:style w:type="character" w:styleId="Collegamentovisitato">
    <w:name w:val="FollowedHyperlink"/>
    <w:basedOn w:val="Carpredefinitoparagrafo"/>
    <w:uiPriority w:val="99"/>
    <w:semiHidden/>
    <w:unhideWhenUsed/>
    <w:rsid w:val="006754B9"/>
    <w:rPr>
      <w:color w:val="954F72" w:themeColor="followedHyperlink"/>
      <w:u w:val="single"/>
    </w:rPr>
  </w:style>
  <w:style w:type="paragraph" w:styleId="NormaleWeb">
    <w:name w:val="Normal (Web)"/>
    <w:basedOn w:val="Normale"/>
    <w:uiPriority w:val="99"/>
    <w:semiHidden/>
    <w:unhideWhenUsed/>
    <w:rsid w:val="006754B9"/>
    <w:pPr>
      <w:spacing w:before="100" w:beforeAutospacing="1" w:after="100" w:afterAutospacing="1"/>
    </w:pPr>
    <w:rPr>
      <w:rFonts w:ascii="Times New Roman" w:eastAsia="Times New Roman" w:hAnsi="Times New Roman" w:cs="Times New Roman"/>
      <w:sz w:val="24"/>
      <w:szCs w:val="24"/>
      <w:lang w:eastAsia="en-GB"/>
    </w:rPr>
  </w:style>
  <w:style w:type="paragraph" w:styleId="Soggettocommento">
    <w:name w:val="annotation subject"/>
    <w:basedOn w:val="Testocommento"/>
    <w:next w:val="Testocommento"/>
    <w:link w:val="SoggettocommentoCarattere"/>
    <w:uiPriority w:val="99"/>
    <w:semiHidden/>
    <w:unhideWhenUsed/>
    <w:rsid w:val="006754B9"/>
    <w:rPr>
      <w:b/>
      <w:bCs/>
    </w:rPr>
  </w:style>
  <w:style w:type="character" w:customStyle="1" w:styleId="SoggettocommentoCarattere">
    <w:name w:val="Soggetto commento Carattere"/>
    <w:basedOn w:val="TestocommentoCarattere"/>
    <w:link w:val="Soggettocommento"/>
    <w:uiPriority w:val="99"/>
    <w:semiHidden/>
    <w:rsid w:val="006754B9"/>
    <w:rPr>
      <w:b/>
      <w:bCs/>
      <w:sz w:val="20"/>
      <w:szCs w:val="20"/>
    </w:rPr>
  </w:style>
  <w:style w:type="paragraph" w:styleId="Testofumetto">
    <w:name w:val="Balloon Text"/>
    <w:basedOn w:val="Normale"/>
    <w:link w:val="TestofumettoCarattere"/>
    <w:uiPriority w:val="99"/>
    <w:semiHidden/>
    <w:unhideWhenUsed/>
    <w:rsid w:val="006754B9"/>
    <w:pPr>
      <w:spacing w:after="0"/>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754B9"/>
    <w:rPr>
      <w:rFonts w:ascii="Segoe UI" w:hAnsi="Segoe UI" w:cs="Segoe UI"/>
      <w:sz w:val="18"/>
      <w:szCs w:val="18"/>
    </w:rPr>
  </w:style>
  <w:style w:type="table" w:styleId="Grigliatabella">
    <w:name w:val="Table Grid"/>
    <w:basedOn w:val="Tabellanormale"/>
    <w:uiPriority w:val="39"/>
    <w:rsid w:val="006754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ssunaspaziaturaCarattere">
    <w:name w:val="Nessuna spaziatura Carattere"/>
    <w:basedOn w:val="Carpredefinitoparagrafo"/>
    <w:link w:val="Nessunaspaziatura"/>
    <w:uiPriority w:val="1"/>
    <w:rsid w:val="006754B9"/>
    <w:rPr>
      <w:rFonts w:eastAsiaTheme="minorEastAsia"/>
      <w:lang w:eastAsia="en-GB"/>
    </w:rPr>
  </w:style>
  <w:style w:type="paragraph" w:styleId="Paragrafoelenco">
    <w:name w:val="List Paragraph"/>
    <w:basedOn w:val="Normale"/>
    <w:uiPriority w:val="1"/>
    <w:qFormat/>
    <w:rsid w:val="006754B9"/>
    <w:pPr>
      <w:ind w:left="720"/>
      <w:contextualSpacing/>
    </w:pPr>
  </w:style>
  <w:style w:type="paragraph" w:styleId="Titolosommario">
    <w:name w:val="TOC Heading"/>
    <w:basedOn w:val="Titolo1"/>
    <w:next w:val="Normale"/>
    <w:uiPriority w:val="39"/>
    <w:unhideWhenUsed/>
    <w:qFormat/>
    <w:rsid w:val="006754B9"/>
    <w:pPr>
      <w:numPr>
        <w:numId w:val="0"/>
      </w:numPr>
      <w:spacing w:after="0" w:line="259" w:lineRule="auto"/>
      <w:jc w:val="left"/>
      <w:outlineLvl w:val="9"/>
    </w:pPr>
    <w:rPr>
      <w:rFonts w:asciiTheme="majorHAnsi" w:hAnsiTheme="majorHAnsi"/>
      <w:b w:val="0"/>
      <w:color w:val="2F5496" w:themeColor="accent1" w:themeShade="BF"/>
      <w:sz w:val="32"/>
      <w:lang w:val="it-IT" w:eastAsia="it-IT"/>
    </w:rPr>
  </w:style>
  <w:style w:type="table" w:styleId="Tabellasemplice-3">
    <w:name w:val="Plain Table 3"/>
    <w:basedOn w:val="Tabellanormale"/>
    <w:uiPriority w:val="43"/>
    <w:rsid w:val="006754B9"/>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Menzionenonrisolta">
    <w:name w:val="Unresolved Mention"/>
    <w:basedOn w:val="Carpredefinitoparagrafo"/>
    <w:uiPriority w:val="99"/>
    <w:semiHidden/>
    <w:unhideWhenUsed/>
    <w:rsid w:val="006754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771981">
      <w:bodyDiv w:val="1"/>
      <w:marLeft w:val="0"/>
      <w:marRight w:val="0"/>
      <w:marTop w:val="0"/>
      <w:marBottom w:val="0"/>
      <w:divBdr>
        <w:top w:val="none" w:sz="0" w:space="0" w:color="auto"/>
        <w:left w:val="none" w:sz="0" w:space="0" w:color="auto"/>
        <w:bottom w:val="none" w:sz="0" w:space="0" w:color="auto"/>
        <w:right w:val="none" w:sz="0" w:space="0" w:color="auto"/>
      </w:divBdr>
      <w:divsChild>
        <w:div w:id="669991094">
          <w:marLeft w:val="0"/>
          <w:marRight w:val="0"/>
          <w:marTop w:val="0"/>
          <w:marBottom w:val="0"/>
          <w:divBdr>
            <w:top w:val="none" w:sz="0" w:space="0" w:color="auto"/>
            <w:left w:val="none" w:sz="0" w:space="0" w:color="auto"/>
            <w:bottom w:val="none" w:sz="0" w:space="0" w:color="auto"/>
            <w:right w:val="none" w:sz="0" w:space="0" w:color="auto"/>
          </w:divBdr>
        </w:div>
      </w:divsChild>
    </w:div>
    <w:div w:id="1506356552">
      <w:bodyDiv w:val="1"/>
      <w:marLeft w:val="0"/>
      <w:marRight w:val="0"/>
      <w:marTop w:val="0"/>
      <w:marBottom w:val="0"/>
      <w:divBdr>
        <w:top w:val="none" w:sz="0" w:space="0" w:color="auto"/>
        <w:left w:val="none" w:sz="0" w:space="0" w:color="auto"/>
        <w:bottom w:val="none" w:sz="0" w:space="0" w:color="auto"/>
        <w:right w:val="none" w:sz="0" w:space="0" w:color="auto"/>
      </w:divBdr>
      <w:divsChild>
        <w:div w:id="327293302">
          <w:marLeft w:val="0"/>
          <w:marRight w:val="0"/>
          <w:marTop w:val="0"/>
          <w:marBottom w:val="0"/>
          <w:divBdr>
            <w:top w:val="single" w:sz="2" w:space="0" w:color="auto"/>
            <w:left w:val="single" w:sz="2" w:space="0" w:color="auto"/>
            <w:bottom w:val="single" w:sz="6" w:space="0" w:color="auto"/>
            <w:right w:val="single" w:sz="2" w:space="0" w:color="auto"/>
          </w:divBdr>
          <w:divsChild>
            <w:div w:id="70279329">
              <w:marLeft w:val="0"/>
              <w:marRight w:val="0"/>
              <w:marTop w:val="100"/>
              <w:marBottom w:val="100"/>
              <w:divBdr>
                <w:top w:val="single" w:sz="2" w:space="0" w:color="D9D9E3"/>
                <w:left w:val="single" w:sz="2" w:space="0" w:color="D9D9E3"/>
                <w:bottom w:val="single" w:sz="2" w:space="0" w:color="D9D9E3"/>
                <w:right w:val="single" w:sz="2" w:space="0" w:color="D9D9E3"/>
              </w:divBdr>
              <w:divsChild>
                <w:div w:id="626014245">
                  <w:marLeft w:val="0"/>
                  <w:marRight w:val="0"/>
                  <w:marTop w:val="0"/>
                  <w:marBottom w:val="0"/>
                  <w:divBdr>
                    <w:top w:val="single" w:sz="2" w:space="0" w:color="D9D9E3"/>
                    <w:left w:val="single" w:sz="2" w:space="0" w:color="D9D9E3"/>
                    <w:bottom w:val="single" w:sz="2" w:space="0" w:color="D9D9E3"/>
                    <w:right w:val="single" w:sz="2" w:space="0" w:color="D9D9E3"/>
                  </w:divBdr>
                  <w:divsChild>
                    <w:div w:id="1027146259">
                      <w:marLeft w:val="0"/>
                      <w:marRight w:val="0"/>
                      <w:marTop w:val="0"/>
                      <w:marBottom w:val="0"/>
                      <w:divBdr>
                        <w:top w:val="single" w:sz="2" w:space="0" w:color="D9D9E3"/>
                        <w:left w:val="single" w:sz="2" w:space="0" w:color="D9D9E3"/>
                        <w:bottom w:val="single" w:sz="2" w:space="0" w:color="D9D9E3"/>
                        <w:right w:val="single" w:sz="2" w:space="0" w:color="D9D9E3"/>
                      </w:divBdr>
                      <w:divsChild>
                        <w:div w:id="572203072">
                          <w:marLeft w:val="0"/>
                          <w:marRight w:val="0"/>
                          <w:marTop w:val="0"/>
                          <w:marBottom w:val="0"/>
                          <w:divBdr>
                            <w:top w:val="single" w:sz="2" w:space="0" w:color="D9D9E3"/>
                            <w:left w:val="single" w:sz="2" w:space="0" w:color="D9D9E3"/>
                            <w:bottom w:val="single" w:sz="2" w:space="0" w:color="D9D9E3"/>
                            <w:right w:val="single" w:sz="2" w:space="0" w:color="D9D9E3"/>
                          </w:divBdr>
                          <w:divsChild>
                            <w:div w:id="57652521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774979895">
      <w:bodyDiv w:val="1"/>
      <w:marLeft w:val="0"/>
      <w:marRight w:val="0"/>
      <w:marTop w:val="0"/>
      <w:marBottom w:val="0"/>
      <w:divBdr>
        <w:top w:val="none" w:sz="0" w:space="0" w:color="auto"/>
        <w:left w:val="none" w:sz="0" w:space="0" w:color="auto"/>
        <w:bottom w:val="none" w:sz="0" w:space="0" w:color="auto"/>
        <w:right w:val="none" w:sz="0" w:space="0" w:color="auto"/>
      </w:divBdr>
      <w:divsChild>
        <w:div w:id="352001644">
          <w:marLeft w:val="0"/>
          <w:marRight w:val="0"/>
          <w:marTop w:val="0"/>
          <w:marBottom w:val="0"/>
          <w:divBdr>
            <w:top w:val="none" w:sz="0" w:space="0" w:color="auto"/>
            <w:left w:val="none" w:sz="0" w:space="0" w:color="auto"/>
            <w:bottom w:val="none" w:sz="0" w:space="0" w:color="auto"/>
            <w:right w:val="none" w:sz="0" w:space="0" w:color="auto"/>
          </w:divBdr>
        </w:div>
      </w:divsChild>
    </w:div>
    <w:div w:id="19491942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40" b="0" i="0" u="none" strike="noStrike" kern="1200" spc="70" baseline="0">
                <a:solidFill>
                  <a:schemeClr val="dk1">
                    <a:lumMod val="50000"/>
                    <a:lumOff val="50000"/>
                  </a:schemeClr>
                </a:solidFill>
                <a:latin typeface="+mn-lt"/>
                <a:ea typeface="+mn-ea"/>
                <a:cs typeface="+mn-cs"/>
              </a:defRPr>
            </a:pPr>
            <a:r>
              <a:rPr lang="en-GB"/>
              <a:t>Threat of New Entrants</a:t>
            </a:r>
          </a:p>
        </c:rich>
      </c:tx>
      <c:layout>
        <c:manualLayout>
          <c:xMode val="edge"/>
          <c:yMode val="edge"/>
          <c:x val="0.34072594186596239"/>
          <c:y val="1.0322698102043593E-3"/>
        </c:manualLayout>
      </c:layout>
      <c:overlay val="0"/>
      <c:spPr>
        <a:noFill/>
        <a:ln>
          <a:noFill/>
        </a:ln>
        <a:effectLst/>
      </c:spPr>
      <c:txPr>
        <a:bodyPr rot="0" spcFirstLastPara="1" vertOverflow="ellipsis" vert="horz" wrap="square" anchor="ctr" anchorCtr="1"/>
        <a:lstStyle/>
        <a:p>
          <a:pPr>
            <a:defRPr sz="1440" b="0" i="0" u="none" strike="noStrike" kern="1200" spc="70" baseline="0">
              <a:solidFill>
                <a:schemeClr val="dk1">
                  <a:lumMod val="50000"/>
                  <a:lumOff val="50000"/>
                </a:schemeClr>
              </a:solidFill>
              <a:latin typeface="+mn-lt"/>
              <a:ea typeface="+mn-ea"/>
              <a:cs typeface="+mn-cs"/>
            </a:defRPr>
          </a:pPr>
          <a:endParaRPr lang="en-US"/>
        </a:p>
      </c:txPr>
    </c:title>
    <c:autoTitleDeleted val="0"/>
    <c:plotArea>
      <c:layout/>
      <c:radarChart>
        <c:radarStyle val="marker"/>
        <c:varyColors val="0"/>
        <c:ser>
          <c:idx val="0"/>
          <c:order val="0"/>
          <c:tx>
            <c:strRef>
              <c:f>Foglio1!$A$2</c:f>
              <c:strCache>
                <c:ptCount val="1"/>
                <c:pt idx="0">
                  <c:v>Supply-Side Economies of Scale</c:v>
                </c:pt>
              </c:strCache>
            </c:strRef>
          </c:tx>
          <c:spPr>
            <a:ln w="50800" cap="rnd" cmpd="sng" algn="ctr">
              <a:solidFill>
                <a:schemeClr val="accent1">
                  <a:alpha val="30000"/>
                </a:schemeClr>
              </a:solidFill>
              <a:round/>
            </a:ln>
            <a:effectLst/>
          </c:spPr>
          <c:marker>
            <c:symbol val="none"/>
          </c:marker>
          <c:cat>
            <c:strRef>
              <c:f>Foglio1!$A$2:$A$8</c:f>
              <c:strCache>
                <c:ptCount val="7"/>
                <c:pt idx="0">
                  <c:v>Supply-Side Economies of Scale</c:v>
                </c:pt>
                <c:pt idx="1">
                  <c:v>Demand-Side Benefits of Scale</c:v>
                </c:pt>
                <c:pt idx="2">
                  <c:v>Switching Costs</c:v>
                </c:pt>
                <c:pt idx="3">
                  <c:v>Incumbency</c:v>
                </c:pt>
                <c:pt idx="4">
                  <c:v>Distribution Channels</c:v>
                </c:pt>
                <c:pt idx="5">
                  <c:v>Government Policy</c:v>
                </c:pt>
                <c:pt idx="6">
                  <c:v>Anticipated Incumbent Response</c:v>
                </c:pt>
              </c:strCache>
            </c:strRef>
          </c:cat>
          <c:val>
            <c:numRef>
              <c:f>Foglio1!$B$2:$B$8</c:f>
              <c:numCache>
                <c:formatCode>General</c:formatCode>
                <c:ptCount val="7"/>
                <c:pt idx="0">
                  <c:v>1</c:v>
                </c:pt>
                <c:pt idx="1">
                  <c:v>1</c:v>
                </c:pt>
                <c:pt idx="2">
                  <c:v>1</c:v>
                </c:pt>
                <c:pt idx="3">
                  <c:v>1</c:v>
                </c:pt>
                <c:pt idx="4">
                  <c:v>1</c:v>
                </c:pt>
                <c:pt idx="5">
                  <c:v>1</c:v>
                </c:pt>
                <c:pt idx="6">
                  <c:v>1</c:v>
                </c:pt>
              </c:numCache>
            </c:numRef>
          </c:val>
          <c:extLst>
            <c:ext xmlns:c16="http://schemas.microsoft.com/office/drawing/2014/chart" uri="{C3380CC4-5D6E-409C-BE32-E72D297353CC}">
              <c16:uniqueId val="{00000000-3978-4E0C-B12B-8EFE57E9E505}"/>
            </c:ext>
          </c:extLst>
        </c:ser>
        <c:ser>
          <c:idx val="1"/>
          <c:order val="1"/>
          <c:tx>
            <c:strRef>
              <c:f>Foglio1!$A$3</c:f>
              <c:strCache>
                <c:ptCount val="1"/>
                <c:pt idx="0">
                  <c:v>Demand-Side Benefits of Scale</c:v>
                </c:pt>
              </c:strCache>
            </c:strRef>
          </c:tx>
          <c:spPr>
            <a:ln w="50800" cap="rnd" cmpd="sng" algn="ctr">
              <a:solidFill>
                <a:schemeClr val="accent2">
                  <a:alpha val="30000"/>
                </a:schemeClr>
              </a:solidFill>
              <a:round/>
            </a:ln>
            <a:effectLst/>
          </c:spPr>
          <c:marker>
            <c:symbol val="none"/>
          </c:marker>
          <c:cat>
            <c:strRef>
              <c:f>Foglio1!$A$2:$A$8</c:f>
              <c:strCache>
                <c:ptCount val="7"/>
                <c:pt idx="0">
                  <c:v>Supply-Side Economies of Scale</c:v>
                </c:pt>
                <c:pt idx="1">
                  <c:v>Demand-Side Benefits of Scale</c:v>
                </c:pt>
                <c:pt idx="2">
                  <c:v>Switching Costs</c:v>
                </c:pt>
                <c:pt idx="3">
                  <c:v>Incumbency</c:v>
                </c:pt>
                <c:pt idx="4">
                  <c:v>Distribution Channels</c:v>
                </c:pt>
                <c:pt idx="5">
                  <c:v>Government Policy</c:v>
                </c:pt>
                <c:pt idx="6">
                  <c:v>Anticipated Incumbent Response</c:v>
                </c:pt>
              </c:strCache>
            </c:strRef>
          </c:cat>
          <c:val>
            <c:numRef>
              <c:f>Foglio1!$C$2:$C$8</c:f>
              <c:numCache>
                <c:formatCode>General</c:formatCode>
                <c:ptCount val="7"/>
              </c:numCache>
            </c:numRef>
          </c:val>
          <c:extLst>
            <c:ext xmlns:c16="http://schemas.microsoft.com/office/drawing/2014/chart" uri="{C3380CC4-5D6E-409C-BE32-E72D297353CC}">
              <c16:uniqueId val="{00000001-3978-4E0C-B12B-8EFE57E9E505}"/>
            </c:ext>
          </c:extLst>
        </c:ser>
        <c:ser>
          <c:idx val="2"/>
          <c:order val="2"/>
          <c:tx>
            <c:strRef>
              <c:f>Foglio1!$A$4</c:f>
              <c:strCache>
                <c:ptCount val="1"/>
                <c:pt idx="0">
                  <c:v>Switching Costs</c:v>
                </c:pt>
              </c:strCache>
            </c:strRef>
          </c:tx>
          <c:spPr>
            <a:ln w="50800" cap="rnd" cmpd="sng" algn="ctr">
              <a:solidFill>
                <a:schemeClr val="accent3">
                  <a:alpha val="30000"/>
                </a:schemeClr>
              </a:solidFill>
              <a:round/>
            </a:ln>
            <a:effectLst/>
          </c:spPr>
          <c:marker>
            <c:symbol val="none"/>
          </c:marker>
          <c:cat>
            <c:strRef>
              <c:f>Foglio1!$A$2:$A$8</c:f>
              <c:strCache>
                <c:ptCount val="7"/>
                <c:pt idx="0">
                  <c:v>Supply-Side Economies of Scale</c:v>
                </c:pt>
                <c:pt idx="1">
                  <c:v>Demand-Side Benefits of Scale</c:v>
                </c:pt>
                <c:pt idx="2">
                  <c:v>Switching Costs</c:v>
                </c:pt>
                <c:pt idx="3">
                  <c:v>Incumbency</c:v>
                </c:pt>
                <c:pt idx="4">
                  <c:v>Distribution Channels</c:v>
                </c:pt>
                <c:pt idx="5">
                  <c:v>Government Policy</c:v>
                </c:pt>
                <c:pt idx="6">
                  <c:v>Anticipated Incumbent Response</c:v>
                </c:pt>
              </c:strCache>
            </c:strRef>
          </c:cat>
          <c:val>
            <c:numRef>
              <c:f>Foglio1!$D$2:$D$8</c:f>
              <c:numCache>
                <c:formatCode>General</c:formatCode>
                <c:ptCount val="7"/>
              </c:numCache>
            </c:numRef>
          </c:val>
          <c:extLst>
            <c:ext xmlns:c16="http://schemas.microsoft.com/office/drawing/2014/chart" uri="{C3380CC4-5D6E-409C-BE32-E72D297353CC}">
              <c16:uniqueId val="{00000002-3978-4E0C-B12B-8EFE57E9E505}"/>
            </c:ext>
          </c:extLst>
        </c:ser>
        <c:dLbls>
          <c:showLegendKey val="0"/>
          <c:showVal val="0"/>
          <c:showCatName val="0"/>
          <c:showSerName val="0"/>
          <c:showPercent val="0"/>
          <c:showBubbleSize val="0"/>
        </c:dLbls>
        <c:axId val="563533472"/>
        <c:axId val="563533832"/>
      </c:radarChart>
      <c:catAx>
        <c:axId val="563533472"/>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dk1">
                    <a:lumMod val="50000"/>
                    <a:lumOff val="50000"/>
                  </a:schemeClr>
                </a:solidFill>
                <a:latin typeface="+mn-lt"/>
                <a:ea typeface="+mn-ea"/>
                <a:cs typeface="+mn-cs"/>
              </a:defRPr>
            </a:pPr>
            <a:endParaRPr lang="en-US"/>
          </a:p>
        </c:txPr>
        <c:crossAx val="563533832"/>
        <c:crosses val="autoZero"/>
        <c:auto val="1"/>
        <c:lblAlgn val="ctr"/>
        <c:lblOffset val="100"/>
        <c:noMultiLvlLbl val="0"/>
      </c:catAx>
      <c:valAx>
        <c:axId val="563533832"/>
        <c:scaling>
          <c:orientation val="minMax"/>
          <c:max val="5"/>
          <c:min val="1"/>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dk1">
                    <a:lumMod val="50000"/>
                    <a:lumOff val="50000"/>
                  </a:schemeClr>
                </a:solidFill>
                <a:latin typeface="+mn-lt"/>
                <a:ea typeface="+mn-ea"/>
                <a:cs typeface="+mn-cs"/>
              </a:defRPr>
            </a:pPr>
            <a:endParaRPr lang="en-US"/>
          </a:p>
        </c:txPr>
        <c:crossAx val="563533472"/>
        <c:crosses val="autoZero"/>
        <c:crossBetween val="between"/>
        <c:majorUnit val="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100000">
          <a:schemeClr val="lt1">
            <a:lumMod val="95000"/>
          </a:schemeClr>
        </a:gs>
        <a:gs pos="43000">
          <a:schemeClr val="lt1"/>
        </a:gs>
      </a:gsLst>
      <a:path path="circle">
        <a:fillToRect l="50000" t="50000" r="50000" b="50000"/>
      </a:path>
      <a:tileRect/>
    </a:gradFill>
    <a:ln w="9525" cap="flat" cmpd="sng" algn="ctr">
      <a:solidFill>
        <a:schemeClr val="dk1">
          <a:lumMod val="15000"/>
          <a:lumOff val="85000"/>
        </a:schemeClr>
      </a:solidFill>
      <a:round/>
    </a:ln>
    <a:effectLst/>
  </c:spPr>
  <c:txPr>
    <a:bodyPr/>
    <a:lstStyle/>
    <a:p>
      <a:pPr>
        <a:defRPr sz="1200"/>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40" b="0" i="0" u="none" strike="noStrike" kern="1200" spc="70" baseline="0">
                <a:solidFill>
                  <a:schemeClr val="dk1">
                    <a:lumMod val="50000"/>
                    <a:lumOff val="50000"/>
                  </a:schemeClr>
                </a:solidFill>
                <a:latin typeface="+mn-lt"/>
                <a:ea typeface="+mn-ea"/>
                <a:cs typeface="+mn-cs"/>
              </a:defRPr>
            </a:pPr>
            <a:r>
              <a:rPr lang="en-GB"/>
              <a:t>Bargaining power of suppliers</a:t>
            </a:r>
          </a:p>
        </c:rich>
      </c:tx>
      <c:overlay val="0"/>
      <c:spPr>
        <a:noFill/>
        <a:ln>
          <a:noFill/>
        </a:ln>
        <a:effectLst/>
      </c:spPr>
      <c:txPr>
        <a:bodyPr rot="0" spcFirstLastPara="1" vertOverflow="ellipsis" vert="horz" wrap="square" anchor="ctr" anchorCtr="1"/>
        <a:lstStyle/>
        <a:p>
          <a:pPr>
            <a:defRPr sz="1440" b="0" i="0" u="none" strike="noStrike" kern="1200" spc="70" baseline="0">
              <a:solidFill>
                <a:schemeClr val="dk1">
                  <a:lumMod val="50000"/>
                  <a:lumOff val="50000"/>
                </a:schemeClr>
              </a:solidFill>
              <a:latin typeface="+mn-lt"/>
              <a:ea typeface="+mn-ea"/>
              <a:cs typeface="+mn-cs"/>
            </a:defRPr>
          </a:pPr>
          <a:endParaRPr lang="en-US"/>
        </a:p>
      </c:txPr>
    </c:title>
    <c:autoTitleDeleted val="0"/>
    <c:plotArea>
      <c:layout/>
      <c:radarChart>
        <c:radarStyle val="marker"/>
        <c:varyColors val="0"/>
        <c:ser>
          <c:idx val="0"/>
          <c:order val="0"/>
          <c:tx>
            <c:strRef>
              <c:f>Foglio1!$B$1</c:f>
              <c:strCache>
                <c:ptCount val="1"/>
                <c:pt idx="0">
                  <c:v>Serie 1</c:v>
                </c:pt>
              </c:strCache>
            </c:strRef>
          </c:tx>
          <c:spPr>
            <a:ln w="50800" cap="rnd" cmpd="sng" algn="ctr">
              <a:solidFill>
                <a:schemeClr val="accent1">
                  <a:alpha val="30000"/>
                </a:schemeClr>
              </a:solidFill>
              <a:round/>
            </a:ln>
            <a:effectLst/>
          </c:spPr>
          <c:marker>
            <c:symbol val="none"/>
          </c:marker>
          <c:cat>
            <c:strRef>
              <c:f>Foglio1!$A$2:$A$7</c:f>
              <c:strCache>
                <c:ptCount val="6"/>
                <c:pt idx="0">
                  <c:v>Supplier Concentration</c:v>
                </c:pt>
                <c:pt idx="1">
                  <c:v>Supplier Volume/Profit</c:v>
                </c:pt>
                <c:pt idx="2">
                  <c:v>Supplier Forward Integration </c:v>
                </c:pt>
                <c:pt idx="3">
                  <c:v>Supplier Products </c:v>
                </c:pt>
                <c:pt idx="4">
                  <c:v>Industry Switching Costs </c:v>
                </c:pt>
                <c:pt idx="5">
                  <c:v>Supplier Substitutes</c:v>
                </c:pt>
              </c:strCache>
            </c:strRef>
          </c:cat>
          <c:val>
            <c:numRef>
              <c:f>Foglio1!$B$2:$B$7</c:f>
              <c:numCache>
                <c:formatCode>General</c:formatCode>
                <c:ptCount val="6"/>
                <c:pt idx="0">
                  <c:v>1</c:v>
                </c:pt>
                <c:pt idx="1">
                  <c:v>1</c:v>
                </c:pt>
                <c:pt idx="2">
                  <c:v>1</c:v>
                </c:pt>
                <c:pt idx="3">
                  <c:v>1</c:v>
                </c:pt>
                <c:pt idx="4">
                  <c:v>1</c:v>
                </c:pt>
                <c:pt idx="5">
                  <c:v>1</c:v>
                </c:pt>
              </c:numCache>
            </c:numRef>
          </c:val>
          <c:extLst>
            <c:ext xmlns:c16="http://schemas.microsoft.com/office/drawing/2014/chart" uri="{C3380CC4-5D6E-409C-BE32-E72D297353CC}">
              <c16:uniqueId val="{00000000-8EED-4210-8B26-18EBAD0CD317}"/>
            </c:ext>
          </c:extLst>
        </c:ser>
        <c:dLbls>
          <c:showLegendKey val="0"/>
          <c:showVal val="0"/>
          <c:showCatName val="0"/>
          <c:showSerName val="0"/>
          <c:showPercent val="0"/>
          <c:showBubbleSize val="0"/>
        </c:dLbls>
        <c:axId val="451033344"/>
        <c:axId val="451031904"/>
      </c:radarChart>
      <c:catAx>
        <c:axId val="451033344"/>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dk1">
                    <a:lumMod val="50000"/>
                    <a:lumOff val="50000"/>
                  </a:schemeClr>
                </a:solidFill>
                <a:latin typeface="+mn-lt"/>
                <a:ea typeface="+mn-ea"/>
                <a:cs typeface="+mn-cs"/>
              </a:defRPr>
            </a:pPr>
            <a:endParaRPr lang="en-US"/>
          </a:p>
        </c:txPr>
        <c:crossAx val="451031904"/>
        <c:crosses val="autoZero"/>
        <c:auto val="1"/>
        <c:lblAlgn val="ctr"/>
        <c:lblOffset val="100"/>
        <c:noMultiLvlLbl val="0"/>
      </c:catAx>
      <c:valAx>
        <c:axId val="451031904"/>
        <c:scaling>
          <c:orientation val="minMax"/>
          <c:max val="5"/>
          <c:min val="1"/>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dk1">
                    <a:lumMod val="50000"/>
                    <a:lumOff val="50000"/>
                  </a:schemeClr>
                </a:solidFill>
                <a:latin typeface="+mn-lt"/>
                <a:ea typeface="+mn-ea"/>
                <a:cs typeface="+mn-cs"/>
              </a:defRPr>
            </a:pPr>
            <a:endParaRPr lang="en-US"/>
          </a:p>
        </c:txPr>
        <c:crossAx val="451033344"/>
        <c:crosses val="autoZero"/>
        <c:crossBetween val="between"/>
        <c:majorUnit val="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100000">
          <a:schemeClr val="lt1">
            <a:lumMod val="95000"/>
          </a:schemeClr>
        </a:gs>
        <a:gs pos="43000">
          <a:schemeClr val="lt1"/>
        </a:gs>
      </a:gsLst>
      <a:path path="circle">
        <a:fillToRect l="50000" t="50000" r="50000" b="50000"/>
      </a:path>
      <a:tileRect/>
    </a:gradFill>
    <a:ln w="9525" cap="flat" cmpd="sng" algn="ctr">
      <a:solidFill>
        <a:schemeClr val="dk1">
          <a:lumMod val="15000"/>
          <a:lumOff val="85000"/>
        </a:schemeClr>
      </a:solidFill>
      <a:round/>
    </a:ln>
    <a:effectLst/>
  </c:spPr>
  <c:txPr>
    <a:bodyPr/>
    <a:lstStyle/>
    <a:p>
      <a:pPr>
        <a:defRPr sz="1200"/>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600" b="0" i="0" u="none" strike="noStrike" kern="1200" spc="70" baseline="0">
                <a:solidFill>
                  <a:sysClr val="windowText" lastClr="000000">
                    <a:lumMod val="50000"/>
                    <a:lumOff val="50000"/>
                  </a:sysClr>
                </a:solidFill>
                <a:latin typeface="+mn-lt"/>
                <a:ea typeface="+mn-ea"/>
                <a:cs typeface="+mn-cs"/>
              </a:defRPr>
            </a:pPr>
            <a:r>
              <a:rPr lang="en-US"/>
              <a:t>Bargaining power of buyers</a:t>
            </a: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600" b="0" i="0" u="none" strike="noStrike" kern="1200" spc="70" baseline="0">
              <a:solidFill>
                <a:sysClr val="windowText" lastClr="000000">
                  <a:lumMod val="50000"/>
                  <a:lumOff val="50000"/>
                </a:sysClr>
              </a:solidFill>
              <a:latin typeface="+mn-lt"/>
              <a:ea typeface="+mn-ea"/>
              <a:cs typeface="+mn-cs"/>
            </a:defRPr>
          </a:pPr>
          <a:endParaRPr lang="en-US"/>
        </a:p>
      </c:txPr>
    </c:title>
    <c:autoTitleDeleted val="0"/>
    <c:plotArea>
      <c:layout/>
      <c:radarChart>
        <c:radarStyle val="marker"/>
        <c:varyColors val="0"/>
        <c:ser>
          <c:idx val="0"/>
          <c:order val="0"/>
          <c:tx>
            <c:strRef>
              <c:f>Foglio1!$B$1</c:f>
              <c:strCache>
                <c:ptCount val="1"/>
                <c:pt idx="0">
                  <c:v>Serie 1</c:v>
                </c:pt>
              </c:strCache>
            </c:strRef>
          </c:tx>
          <c:spPr>
            <a:ln w="50800" cap="rnd" cmpd="sng" algn="ctr">
              <a:solidFill>
                <a:schemeClr val="accent1">
                  <a:alpha val="30000"/>
                </a:schemeClr>
              </a:solidFill>
              <a:round/>
            </a:ln>
            <a:effectLst/>
          </c:spPr>
          <c:marker>
            <c:symbol val="none"/>
          </c:marker>
          <c:cat>
            <c:strRef>
              <c:f>Foglio1!$A$2:$A$9</c:f>
              <c:strCache>
                <c:ptCount val="8"/>
                <c:pt idx="0">
                  <c:v>Buyer Orders </c:v>
                </c:pt>
                <c:pt idx="1">
                  <c:v>Buyer Information </c:v>
                </c:pt>
                <c:pt idx="2">
                  <c:v>Buyer Backward Integration</c:v>
                </c:pt>
                <c:pt idx="3">
                  <c:v>Industry Products</c:v>
                </c:pt>
                <c:pt idx="4">
                  <c:v>Buyer Switching Costs </c:v>
                </c:pt>
                <c:pt idx="5">
                  <c:v>Overall Buyer Costs </c:v>
                </c:pt>
                <c:pt idx="6">
                  <c:v>Buyer Profitability </c:v>
                </c:pt>
                <c:pt idx="7">
                  <c:v>Buyer Product/Service </c:v>
                </c:pt>
              </c:strCache>
            </c:strRef>
          </c:cat>
          <c:val>
            <c:numRef>
              <c:f>Foglio1!$B$2:$B$9</c:f>
              <c:numCache>
                <c:formatCode>General</c:formatCode>
                <c:ptCount val="8"/>
                <c:pt idx="0">
                  <c:v>1</c:v>
                </c:pt>
                <c:pt idx="1">
                  <c:v>1</c:v>
                </c:pt>
                <c:pt idx="2">
                  <c:v>1</c:v>
                </c:pt>
                <c:pt idx="3">
                  <c:v>1</c:v>
                </c:pt>
                <c:pt idx="4">
                  <c:v>1</c:v>
                </c:pt>
              </c:numCache>
            </c:numRef>
          </c:val>
          <c:extLst>
            <c:ext xmlns:c16="http://schemas.microsoft.com/office/drawing/2014/chart" uri="{C3380CC4-5D6E-409C-BE32-E72D297353CC}">
              <c16:uniqueId val="{00000000-283E-47A6-9793-A828A0DAB699}"/>
            </c:ext>
          </c:extLst>
        </c:ser>
        <c:dLbls>
          <c:showLegendKey val="0"/>
          <c:showVal val="0"/>
          <c:showCatName val="0"/>
          <c:showSerName val="0"/>
          <c:showPercent val="0"/>
          <c:showBubbleSize val="0"/>
        </c:dLbls>
        <c:axId val="558897680"/>
        <c:axId val="558898400"/>
      </c:radarChart>
      <c:catAx>
        <c:axId val="558897680"/>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dk1">
                    <a:lumMod val="50000"/>
                    <a:lumOff val="50000"/>
                  </a:schemeClr>
                </a:solidFill>
                <a:latin typeface="+mn-lt"/>
                <a:ea typeface="+mn-ea"/>
                <a:cs typeface="+mn-cs"/>
              </a:defRPr>
            </a:pPr>
            <a:endParaRPr lang="en-US"/>
          </a:p>
        </c:txPr>
        <c:crossAx val="558898400"/>
        <c:crosses val="autoZero"/>
        <c:auto val="1"/>
        <c:lblAlgn val="ctr"/>
        <c:lblOffset val="100"/>
        <c:noMultiLvlLbl val="0"/>
      </c:catAx>
      <c:valAx>
        <c:axId val="558898400"/>
        <c:scaling>
          <c:orientation val="minMax"/>
          <c:max val="5"/>
          <c:min val="1"/>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50000"/>
                    <a:lumOff val="50000"/>
                  </a:schemeClr>
                </a:solidFill>
                <a:latin typeface="+mn-lt"/>
                <a:ea typeface="+mn-ea"/>
                <a:cs typeface="+mn-cs"/>
              </a:defRPr>
            </a:pPr>
            <a:endParaRPr lang="en-US"/>
          </a:p>
        </c:txPr>
        <c:crossAx val="558897680"/>
        <c:crosses val="autoZero"/>
        <c:crossBetween val="between"/>
        <c:majorUnit val="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100000">
          <a:schemeClr val="lt1">
            <a:lumMod val="95000"/>
          </a:schemeClr>
        </a:gs>
        <a:gs pos="43000">
          <a:schemeClr val="lt1"/>
        </a:gs>
      </a:gsLst>
      <a:path path="circle">
        <a:fillToRect l="50000" t="50000" r="50000" b="50000"/>
      </a:path>
      <a:tileRect/>
    </a:gra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20" b="0" i="0" u="none" strike="noStrike" kern="1200" spc="70" baseline="0">
                <a:solidFill>
                  <a:schemeClr val="dk1">
                    <a:lumMod val="50000"/>
                    <a:lumOff val="50000"/>
                  </a:schemeClr>
                </a:solidFill>
                <a:latin typeface="+mn-lt"/>
                <a:ea typeface="+mn-ea"/>
                <a:cs typeface="+mn-cs"/>
              </a:defRPr>
            </a:pPr>
            <a:r>
              <a:rPr lang="en-US"/>
              <a:t>Threat of Substitutes</a:t>
            </a:r>
          </a:p>
        </c:rich>
      </c:tx>
      <c:overlay val="0"/>
      <c:spPr>
        <a:noFill/>
        <a:ln>
          <a:noFill/>
        </a:ln>
        <a:effectLst/>
      </c:spPr>
      <c:txPr>
        <a:bodyPr rot="0" spcFirstLastPara="1" vertOverflow="ellipsis" vert="horz" wrap="square" anchor="ctr" anchorCtr="1"/>
        <a:lstStyle/>
        <a:p>
          <a:pPr>
            <a:defRPr sz="1320" b="0" i="0" u="none" strike="noStrike" kern="1200" spc="70" baseline="0">
              <a:solidFill>
                <a:schemeClr val="dk1">
                  <a:lumMod val="50000"/>
                  <a:lumOff val="50000"/>
                </a:schemeClr>
              </a:solidFill>
              <a:latin typeface="+mn-lt"/>
              <a:ea typeface="+mn-ea"/>
              <a:cs typeface="+mn-cs"/>
            </a:defRPr>
          </a:pPr>
          <a:endParaRPr lang="en-US"/>
        </a:p>
      </c:txPr>
    </c:title>
    <c:autoTitleDeleted val="0"/>
    <c:plotArea>
      <c:layout/>
      <c:radarChart>
        <c:radarStyle val="marker"/>
        <c:varyColors val="0"/>
        <c:ser>
          <c:idx val="0"/>
          <c:order val="0"/>
          <c:tx>
            <c:strRef>
              <c:f>Foglio1!$B$1</c:f>
              <c:strCache>
                <c:ptCount val="1"/>
                <c:pt idx="0">
                  <c:v>Colonna1</c:v>
                </c:pt>
              </c:strCache>
            </c:strRef>
          </c:tx>
          <c:spPr>
            <a:ln w="50800" cap="rnd" cmpd="sng" algn="ctr">
              <a:solidFill>
                <a:schemeClr val="accent1">
                  <a:alpha val="30000"/>
                </a:schemeClr>
              </a:solidFill>
              <a:round/>
            </a:ln>
            <a:effectLst/>
          </c:spPr>
          <c:marker>
            <c:symbol val="none"/>
          </c:marker>
          <c:cat>
            <c:strRef>
              <c:f>Foglio1!$A$2:$A$9</c:f>
              <c:strCache>
                <c:ptCount val="8"/>
                <c:pt idx="0">
                  <c:v>Price/Indirect Costs</c:v>
                </c:pt>
                <c:pt idx="1">
                  <c:v>Buyer Price Sensitivity</c:v>
                </c:pt>
                <c:pt idx="2">
                  <c:v>Performance</c:v>
                </c:pt>
                <c:pt idx="3">
                  <c:v>Buyer Switching Costs</c:v>
                </c:pt>
                <c:pt idx="4">
                  <c:v>Buyer Profile</c:v>
                </c:pt>
                <c:pt idx="5">
                  <c:v>Distribution Channels</c:v>
                </c:pt>
                <c:pt idx="6">
                  <c:v>Government Policy</c:v>
                </c:pt>
                <c:pt idx="7">
                  <c:v>Anticipated Incumbent Response</c:v>
                </c:pt>
              </c:strCache>
            </c:strRef>
          </c:cat>
          <c:val>
            <c:numRef>
              <c:f>Foglio1!$B$2:$B$9</c:f>
              <c:numCache>
                <c:formatCode>General</c:formatCode>
                <c:ptCount val="8"/>
                <c:pt idx="0">
                  <c:v>1</c:v>
                </c:pt>
                <c:pt idx="1">
                  <c:v>1</c:v>
                </c:pt>
                <c:pt idx="2">
                  <c:v>1</c:v>
                </c:pt>
                <c:pt idx="3">
                  <c:v>1</c:v>
                </c:pt>
                <c:pt idx="4">
                  <c:v>1</c:v>
                </c:pt>
                <c:pt idx="5">
                  <c:v>1</c:v>
                </c:pt>
                <c:pt idx="6">
                  <c:v>1</c:v>
                </c:pt>
                <c:pt idx="7">
                  <c:v>1</c:v>
                </c:pt>
              </c:numCache>
            </c:numRef>
          </c:val>
          <c:extLst>
            <c:ext xmlns:c16="http://schemas.microsoft.com/office/drawing/2014/chart" uri="{C3380CC4-5D6E-409C-BE32-E72D297353CC}">
              <c16:uniqueId val="{00000000-5FAD-442A-ABE6-6049FE9D51DF}"/>
            </c:ext>
          </c:extLst>
        </c:ser>
        <c:dLbls>
          <c:showLegendKey val="0"/>
          <c:showVal val="0"/>
          <c:showCatName val="0"/>
          <c:showSerName val="0"/>
          <c:showPercent val="0"/>
          <c:showBubbleSize val="0"/>
        </c:dLbls>
        <c:axId val="742121944"/>
        <c:axId val="742120504"/>
      </c:radarChart>
      <c:catAx>
        <c:axId val="742121944"/>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dk1">
                    <a:lumMod val="50000"/>
                    <a:lumOff val="50000"/>
                  </a:schemeClr>
                </a:solidFill>
                <a:latin typeface="+mn-lt"/>
                <a:ea typeface="+mn-ea"/>
                <a:cs typeface="+mn-cs"/>
              </a:defRPr>
            </a:pPr>
            <a:endParaRPr lang="en-US"/>
          </a:p>
        </c:txPr>
        <c:crossAx val="742120504"/>
        <c:crosses val="autoZero"/>
        <c:auto val="1"/>
        <c:lblAlgn val="ctr"/>
        <c:lblOffset val="100"/>
        <c:noMultiLvlLbl val="0"/>
      </c:catAx>
      <c:valAx>
        <c:axId val="742120504"/>
        <c:scaling>
          <c:orientation val="minMax"/>
          <c:max val="5"/>
          <c:min val="1"/>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dk1">
                    <a:lumMod val="50000"/>
                    <a:lumOff val="50000"/>
                  </a:schemeClr>
                </a:solidFill>
                <a:latin typeface="+mn-lt"/>
                <a:ea typeface="+mn-ea"/>
                <a:cs typeface="+mn-cs"/>
              </a:defRPr>
            </a:pPr>
            <a:endParaRPr lang="en-US"/>
          </a:p>
        </c:txPr>
        <c:crossAx val="742121944"/>
        <c:crosses val="autoZero"/>
        <c:crossBetween val="between"/>
        <c:majorUnit val="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100000">
          <a:schemeClr val="lt1">
            <a:lumMod val="95000"/>
          </a:schemeClr>
        </a:gs>
        <a:gs pos="43000">
          <a:schemeClr val="lt1"/>
        </a:gs>
      </a:gsLst>
      <a:path path="circle">
        <a:fillToRect l="50000" t="50000" r="50000" b="50000"/>
      </a:path>
      <a:tileRect/>
    </a:gradFill>
    <a:ln w="9525" cap="flat" cmpd="sng" algn="ctr">
      <a:solidFill>
        <a:schemeClr val="dk1">
          <a:lumMod val="15000"/>
          <a:lumOff val="85000"/>
        </a:schemeClr>
      </a:solidFill>
      <a:round/>
    </a:ln>
    <a:effectLst/>
  </c:spPr>
  <c:txPr>
    <a:bodyPr/>
    <a:lstStyle/>
    <a:p>
      <a:pPr>
        <a:defRPr sz="1100"/>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40" b="0" i="0" u="none" strike="noStrike" kern="1200" spc="70" baseline="0">
                <a:solidFill>
                  <a:schemeClr val="dk1">
                    <a:lumMod val="50000"/>
                    <a:lumOff val="50000"/>
                  </a:schemeClr>
                </a:solidFill>
                <a:latin typeface="+mn-lt"/>
                <a:ea typeface="+mn-ea"/>
                <a:cs typeface="+mn-cs"/>
              </a:defRPr>
            </a:pPr>
            <a:r>
              <a:rPr lang="en-US"/>
              <a:t>Industry rivalry</a:t>
            </a:r>
          </a:p>
        </c:rich>
      </c:tx>
      <c:overlay val="0"/>
      <c:spPr>
        <a:noFill/>
        <a:ln>
          <a:noFill/>
        </a:ln>
        <a:effectLst/>
      </c:spPr>
      <c:txPr>
        <a:bodyPr rot="0" spcFirstLastPara="1" vertOverflow="ellipsis" vert="horz" wrap="square" anchor="ctr" anchorCtr="1"/>
        <a:lstStyle/>
        <a:p>
          <a:pPr>
            <a:defRPr sz="1440" b="0" i="0" u="none" strike="noStrike" kern="1200" spc="70" baseline="0">
              <a:solidFill>
                <a:schemeClr val="dk1">
                  <a:lumMod val="50000"/>
                  <a:lumOff val="50000"/>
                </a:schemeClr>
              </a:solidFill>
              <a:latin typeface="+mn-lt"/>
              <a:ea typeface="+mn-ea"/>
              <a:cs typeface="+mn-cs"/>
            </a:defRPr>
          </a:pPr>
          <a:endParaRPr lang="en-US"/>
        </a:p>
      </c:txPr>
    </c:title>
    <c:autoTitleDeleted val="0"/>
    <c:plotArea>
      <c:layout/>
      <c:radarChart>
        <c:radarStyle val="marker"/>
        <c:varyColors val="0"/>
        <c:ser>
          <c:idx val="0"/>
          <c:order val="0"/>
          <c:tx>
            <c:strRef>
              <c:f>Foglio1!$B$1</c:f>
              <c:strCache>
                <c:ptCount val="1"/>
                <c:pt idx="0">
                  <c:v>Serie 1</c:v>
                </c:pt>
              </c:strCache>
            </c:strRef>
          </c:tx>
          <c:spPr>
            <a:ln w="50800" cap="rnd" cmpd="sng" algn="ctr">
              <a:solidFill>
                <a:schemeClr val="accent1">
                  <a:alpha val="30000"/>
                </a:schemeClr>
              </a:solidFill>
              <a:round/>
            </a:ln>
            <a:effectLst/>
          </c:spPr>
          <c:marker>
            <c:symbol val="none"/>
          </c:marker>
          <c:cat>
            <c:strRef>
              <c:f>Foglio1!$A$2:$A$9</c:f>
              <c:strCache>
                <c:ptCount val="8"/>
                <c:pt idx="0">
                  <c:v>Existing Competitors </c:v>
                </c:pt>
                <c:pt idx="1">
                  <c:v>Industry Growth </c:v>
                </c:pt>
                <c:pt idx="2">
                  <c:v>Fixed and/or Storage Costs </c:v>
                </c:pt>
                <c:pt idx="3">
                  <c:v>High Product Differentiation Low</c:v>
                </c:pt>
                <c:pt idx="4">
                  <c:v>Switching Costs </c:v>
                </c:pt>
                <c:pt idx="5">
                  <c:v>Strategic Stakes</c:v>
                </c:pt>
                <c:pt idx="6">
                  <c:v>Capacity Expansion </c:v>
                </c:pt>
                <c:pt idx="7">
                  <c:v>Exit Barriers</c:v>
                </c:pt>
              </c:strCache>
            </c:strRef>
          </c:cat>
          <c:val>
            <c:numRef>
              <c:f>Foglio1!$B$2:$B$9</c:f>
              <c:numCache>
                <c:formatCode>General</c:formatCode>
                <c:ptCount val="8"/>
                <c:pt idx="0">
                  <c:v>1</c:v>
                </c:pt>
                <c:pt idx="1">
                  <c:v>1</c:v>
                </c:pt>
                <c:pt idx="2">
                  <c:v>1</c:v>
                </c:pt>
                <c:pt idx="3">
                  <c:v>1</c:v>
                </c:pt>
                <c:pt idx="4">
                  <c:v>1</c:v>
                </c:pt>
                <c:pt idx="5">
                  <c:v>1</c:v>
                </c:pt>
                <c:pt idx="6">
                  <c:v>1</c:v>
                </c:pt>
                <c:pt idx="7">
                  <c:v>1</c:v>
                </c:pt>
              </c:numCache>
            </c:numRef>
          </c:val>
          <c:extLst>
            <c:ext xmlns:c16="http://schemas.microsoft.com/office/drawing/2014/chart" uri="{C3380CC4-5D6E-409C-BE32-E72D297353CC}">
              <c16:uniqueId val="{00000000-798E-4B8F-B0E0-99CDB893CCB0}"/>
            </c:ext>
          </c:extLst>
        </c:ser>
        <c:dLbls>
          <c:showLegendKey val="0"/>
          <c:showVal val="0"/>
          <c:showCatName val="0"/>
          <c:showSerName val="0"/>
          <c:showPercent val="0"/>
          <c:showBubbleSize val="0"/>
        </c:dLbls>
        <c:axId val="349931440"/>
        <c:axId val="349935040"/>
      </c:radarChart>
      <c:catAx>
        <c:axId val="349931440"/>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dk1">
                    <a:lumMod val="50000"/>
                    <a:lumOff val="50000"/>
                  </a:schemeClr>
                </a:solidFill>
                <a:latin typeface="+mn-lt"/>
                <a:ea typeface="+mn-ea"/>
                <a:cs typeface="+mn-cs"/>
              </a:defRPr>
            </a:pPr>
            <a:endParaRPr lang="en-US"/>
          </a:p>
        </c:txPr>
        <c:crossAx val="349935040"/>
        <c:crosses val="autoZero"/>
        <c:auto val="1"/>
        <c:lblAlgn val="ctr"/>
        <c:lblOffset val="100"/>
        <c:noMultiLvlLbl val="0"/>
      </c:catAx>
      <c:valAx>
        <c:axId val="349935040"/>
        <c:scaling>
          <c:orientation val="minMax"/>
          <c:max val="5"/>
          <c:min val="1"/>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dk1">
                    <a:lumMod val="50000"/>
                    <a:lumOff val="50000"/>
                  </a:schemeClr>
                </a:solidFill>
                <a:latin typeface="+mn-lt"/>
                <a:ea typeface="+mn-ea"/>
                <a:cs typeface="+mn-cs"/>
              </a:defRPr>
            </a:pPr>
            <a:endParaRPr lang="en-US"/>
          </a:p>
        </c:txPr>
        <c:crossAx val="349931440"/>
        <c:crosses val="autoZero"/>
        <c:crossBetween val="between"/>
        <c:majorUnit val="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100000">
          <a:schemeClr val="lt1">
            <a:lumMod val="95000"/>
          </a:schemeClr>
        </a:gs>
        <a:gs pos="43000">
          <a:schemeClr val="lt1"/>
        </a:gs>
      </a:gsLst>
      <a:path path="circle">
        <a:fillToRect l="50000" t="50000" r="50000" b="50000"/>
      </a:path>
      <a:tileRect/>
    </a:gradFill>
    <a:ln w="9525" cap="flat" cmpd="sng" algn="ctr">
      <a:solidFill>
        <a:schemeClr val="dk1">
          <a:lumMod val="15000"/>
          <a:lumOff val="85000"/>
        </a:schemeClr>
      </a:solidFill>
      <a:round/>
    </a:ln>
    <a:effectLst/>
  </c:spPr>
  <c:txPr>
    <a:bodyPr/>
    <a:lstStyle/>
    <a:p>
      <a:pPr>
        <a:defRPr sz="1200"/>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0" i="0" u="none" strike="noStrike" kern="1200" spc="70" baseline="0">
              <a:solidFill>
                <a:schemeClr val="dk1">
                  <a:lumMod val="50000"/>
                  <a:lumOff val="50000"/>
                </a:schemeClr>
              </a:solidFill>
              <a:latin typeface="+mn-lt"/>
              <a:ea typeface="+mn-ea"/>
              <a:cs typeface="+mn-cs"/>
            </a:defRPr>
          </a:pPr>
          <a:endParaRPr lang="en-US"/>
        </a:p>
      </c:txPr>
    </c:title>
    <c:autoTitleDeleted val="0"/>
    <c:plotArea>
      <c:layout/>
      <c:radarChart>
        <c:radarStyle val="marker"/>
        <c:varyColors val="0"/>
        <c:ser>
          <c:idx val="0"/>
          <c:order val="0"/>
          <c:tx>
            <c:strRef>
              <c:f>Foglio1!$B$1</c:f>
              <c:strCache>
                <c:ptCount val="1"/>
                <c:pt idx="0">
                  <c:v>AAA framework</c:v>
                </c:pt>
              </c:strCache>
            </c:strRef>
          </c:tx>
          <c:spPr>
            <a:ln w="50800" cap="rnd" cmpd="sng" algn="ctr">
              <a:solidFill>
                <a:schemeClr val="accent1">
                  <a:alpha val="30000"/>
                </a:schemeClr>
              </a:solidFill>
              <a:round/>
            </a:ln>
            <a:effectLst/>
          </c:spPr>
          <c:marker>
            <c:symbol val="circle"/>
            <c:size val="4"/>
            <c:spPr>
              <a:solidFill>
                <a:schemeClr val="accent1"/>
              </a:solidFill>
              <a:ln w="12700" cap="flat" cmpd="sng" algn="ctr">
                <a:solidFill>
                  <a:schemeClr val="lt1"/>
                </a:solidFill>
                <a:round/>
              </a:ln>
              <a:effectLst/>
            </c:spPr>
          </c:marker>
          <c:cat>
            <c:strRef>
              <c:f>Foglio1!$A$2:$A$4</c:f>
              <c:strCache>
                <c:ptCount val="3"/>
                <c:pt idx="0">
                  <c:v>Adaptation (Advertising-to-sales) </c:v>
                </c:pt>
                <c:pt idx="1">
                  <c:v>Aggregation (R&amp;D-to-sales)</c:v>
                </c:pt>
                <c:pt idx="2">
                  <c:v>Arbitrage (Labor-to-sales)</c:v>
                </c:pt>
              </c:strCache>
            </c:strRef>
          </c:cat>
          <c:val>
            <c:numRef>
              <c:f>Foglio1!$B$2:$B$4</c:f>
              <c:numCache>
                <c:formatCode>General</c:formatCode>
                <c:ptCount val="3"/>
                <c:pt idx="0">
                  <c:v>0</c:v>
                </c:pt>
                <c:pt idx="1">
                  <c:v>0</c:v>
                </c:pt>
                <c:pt idx="2">
                  <c:v>0</c:v>
                </c:pt>
              </c:numCache>
            </c:numRef>
          </c:val>
          <c:extLst>
            <c:ext xmlns:c16="http://schemas.microsoft.com/office/drawing/2014/chart" uri="{C3380CC4-5D6E-409C-BE32-E72D297353CC}">
              <c16:uniqueId val="{00000000-3C71-4B2D-AA1A-16586BE4CDB8}"/>
            </c:ext>
          </c:extLst>
        </c:ser>
        <c:dLbls>
          <c:showLegendKey val="0"/>
          <c:showVal val="0"/>
          <c:showCatName val="0"/>
          <c:showSerName val="0"/>
          <c:showPercent val="0"/>
          <c:showBubbleSize val="0"/>
        </c:dLbls>
        <c:axId val="563552544"/>
        <c:axId val="563555064"/>
      </c:radarChart>
      <c:catAx>
        <c:axId val="563552544"/>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dk1">
                    <a:lumMod val="50000"/>
                    <a:lumOff val="50000"/>
                  </a:schemeClr>
                </a:solidFill>
                <a:latin typeface="+mn-lt"/>
                <a:ea typeface="+mn-ea"/>
                <a:cs typeface="+mn-cs"/>
              </a:defRPr>
            </a:pPr>
            <a:endParaRPr lang="en-US"/>
          </a:p>
        </c:txPr>
        <c:crossAx val="563555064"/>
        <c:crosses val="autoZero"/>
        <c:auto val="1"/>
        <c:lblAlgn val="ctr"/>
        <c:lblOffset val="100"/>
        <c:noMultiLvlLbl val="0"/>
      </c:catAx>
      <c:valAx>
        <c:axId val="563555064"/>
        <c:scaling>
          <c:orientation val="minMax"/>
          <c:max val="10"/>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50000"/>
                    <a:lumOff val="50000"/>
                  </a:schemeClr>
                </a:solidFill>
                <a:latin typeface="+mn-lt"/>
                <a:ea typeface="+mn-ea"/>
                <a:cs typeface="+mn-cs"/>
              </a:defRPr>
            </a:pPr>
            <a:endParaRPr lang="en-US"/>
          </a:p>
        </c:txPr>
        <c:crossAx val="56355254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50000"/>
                  <a:lumOff val="50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100000">
          <a:schemeClr val="lt1">
            <a:lumMod val="95000"/>
          </a:schemeClr>
        </a:gs>
        <a:gs pos="43000">
          <a:schemeClr val="lt1"/>
        </a:gs>
      </a:gsLst>
      <a:path path="circle">
        <a:fillToRect l="50000" t="50000" r="50000" b="50000"/>
      </a:path>
      <a:tileRect/>
    </a:gra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19">
  <cs:axisTitle>
    <cs:lnRef idx="0"/>
    <cs:fillRef idx="0"/>
    <cs:effectRef idx="0"/>
    <cs:fontRef idx="minor">
      <a:schemeClr val="dk1">
        <a:lumMod val="50000"/>
        <a:lumOff val="50000"/>
      </a:schemeClr>
    </cs:fontRef>
    <cs:defRPr sz="900" b="1" kern="1200"/>
  </cs:axisTitle>
  <cs:categoryAxis>
    <cs:lnRef idx="0"/>
    <cs:fillRef idx="0"/>
    <cs:effectRef idx="0"/>
    <cs:fontRef idx="minor">
      <a:schemeClr val="dk1">
        <a:lumMod val="50000"/>
        <a:lumOff val="50000"/>
      </a:schemeClr>
    </cs:fontRef>
    <cs:spPr>
      <a:ln w="9525" cap="flat" cmpd="sng" algn="ctr">
        <a:solidFill>
          <a:schemeClr val="dk1">
            <a:lumMod val="15000"/>
            <a:lumOff val="85000"/>
          </a:schemeClr>
        </a:solidFill>
        <a:round/>
      </a:ln>
    </cs:spPr>
    <cs:defRPr sz="900" kern="1200"/>
  </cs:categoryAxis>
  <cs:chartArea>
    <cs:lnRef idx="0"/>
    <cs:fillRef idx="0"/>
    <cs:effectRef idx="0"/>
    <cs:fontRef idx="minor">
      <a:schemeClr val="dk1"/>
    </cs:fontRef>
    <cs:spPr>
      <a:gradFill flip="none" rotWithShape="1">
        <a:gsLst>
          <a:gs pos="100000">
            <a:schemeClr val="lt1">
              <a:lumMod val="95000"/>
            </a:schemeClr>
          </a:gs>
          <a:gs pos="43000">
            <a:schemeClr val="lt1"/>
          </a:gs>
        </a:gsLst>
        <a:path path="circle">
          <a:fillToRect l="50000" t="50000" r="50000" b="50000"/>
        </a:path>
        <a:tileRect/>
      </a:gra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50000"/>
        <a:lumOff val="50000"/>
      </a:schemeClr>
    </cs:fontRef>
    <cs:defRPr sz="900" kern="1200"/>
  </cs:dataLabel>
  <cs:dataLabelCallout>
    <cs:lnRef idx="0"/>
    <cs:fillRef idx="0"/>
    <cs:effectRef idx="0"/>
    <cs:fontRef idx="minor">
      <a:schemeClr val="dk1">
        <a:lumMod val="65000"/>
        <a:lumOff val="35000"/>
      </a:schemeClr>
    </cs:fontRef>
    <cs:spPr>
      <a:solidFill>
        <a:schemeClr val="dk1">
          <a:lumMod val="15000"/>
          <a:lumOff val="85000"/>
        </a:schemeClr>
      </a:solidFill>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tx1"/>
    </cs:fontRef>
    <cs:spPr>
      <a:solidFill>
        <a:schemeClr val="phClr">
          <a:alpha val="10196"/>
        </a:schemeClr>
      </a:solidFill>
      <a:ln w="50800">
        <a:solidFill>
          <a:schemeClr val="phClr">
            <a:alpha val="30000"/>
          </a:schemeClr>
        </a:solidFill>
      </a:ln>
    </cs:spPr>
  </cs:dataPoint>
  <cs:dataPoint3D>
    <cs:lnRef idx="0">
      <cs:styleClr val="auto"/>
    </cs:lnRef>
    <cs:fillRef idx="0">
      <cs:styleClr val="auto"/>
    </cs:fillRef>
    <cs:effectRef idx="0"/>
    <cs:fontRef idx="minor">
      <a:schemeClr val="tx1"/>
    </cs:fontRef>
    <cs:spPr>
      <a:solidFill>
        <a:schemeClr val="phClr">
          <a:alpha val="10196"/>
        </a:schemeClr>
      </a:solidFill>
      <a:ln w="50800">
        <a:solidFill>
          <a:schemeClr val="phClr">
            <a:alpha val="30000"/>
          </a:schemeClr>
        </a:solidFill>
      </a:ln>
    </cs:spPr>
  </cs:dataPoint3D>
  <cs:dataPointLine>
    <cs:lnRef idx="0">
      <cs:styleClr val="auto"/>
    </cs:lnRef>
    <cs:fillRef idx="0"/>
    <cs:effectRef idx="0"/>
    <cs:fontRef idx="minor">
      <a:schemeClr val="tx1"/>
    </cs:fontRef>
    <cs:spPr>
      <a:ln w="50800" cap="rnd" cmpd="sng" algn="ctr">
        <a:solidFill>
          <a:schemeClr val="phClr">
            <a:alpha val="30000"/>
          </a:schemeClr>
        </a:solidFill>
        <a:round/>
      </a:ln>
    </cs:spPr>
  </cs:dataPointLine>
  <cs:dataPointMarker>
    <cs:lnRef idx="0"/>
    <cs:fillRef idx="0">
      <cs:styleClr val="auto"/>
    </cs:fillRef>
    <cs:effectRef idx="0"/>
    <cs:fontRef idx="minor">
      <a:schemeClr val="tx1"/>
    </cs:fontRef>
    <cs:spPr>
      <a:solidFill>
        <a:schemeClr val="phClr"/>
      </a:solidFill>
      <a:ln w="12700" cap="flat" cmpd="sng" algn="ctr">
        <a:solidFill>
          <a:schemeClr val="lt1"/>
        </a:solidFill>
        <a:round/>
      </a:ln>
    </cs:spPr>
  </cs:dataPointMarker>
  <cs:dataPointMarkerLayout symbol="circle" size="4"/>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dk1">
        <a:lumMod val="50000"/>
        <a:lumOff val="50000"/>
      </a:schemeClr>
    </cs:fontRef>
    <cs:spPr>
      <a:ln w="9525" cap="rnd">
        <a:solidFill>
          <a:schemeClr val="dk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a:solidFill>
          <a:schemeClr val="dk1">
            <a:lumMod val="50000"/>
            <a:lumOff val="50000"/>
          </a:schemeClr>
        </a:solidFill>
      </a:ln>
    </cs:spPr>
  </cs:downBar>
  <cs:dropLine>
    <cs:lnRef idx="0"/>
    <cs:fillRef idx="0"/>
    <cs:effectRef idx="0"/>
    <cs:fontRef idx="minor">
      <a:schemeClr val="tx1"/>
    </cs:fontRef>
    <cs:spPr>
      <a:ln w="9525">
        <a:solidFill>
          <a:schemeClr val="dk1">
            <a:lumMod val="35000"/>
            <a:lumOff val="65000"/>
          </a:schemeClr>
        </a:solidFill>
      </a:ln>
    </cs:spPr>
  </cs:dropLine>
  <cs:errorBar>
    <cs:lnRef idx="0"/>
    <cs:fillRef idx="0"/>
    <cs:effectRef idx="0"/>
    <cs:fontRef idx="minor">
      <a:schemeClr val="tx1"/>
    </cs:fontRef>
    <cs:spPr>
      <a:ln w="9525">
        <a:solidFill>
          <a:schemeClr val="dk1">
            <a:lumMod val="50000"/>
            <a:lumOff val="50000"/>
          </a:schemeClr>
        </a:solidFill>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15000"/>
            <a:lumOff val="85000"/>
          </a:schemeClr>
        </a:solidFill>
        <a:round/>
      </a:ln>
    </cs:spPr>
  </cs:gridlineMajor>
  <cs:gridlineMinor>
    <cs:lnRef idx="0"/>
    <cs:fillRef idx="0"/>
    <cs:effectRef idx="0"/>
    <cs:fontRef idx="minor">
      <a:schemeClr val="tx1"/>
    </cs:fontRef>
    <cs:spPr>
      <a:ln w="9525" cap="flat" cmpd="sng" algn="ctr">
        <a:solidFill>
          <a:schemeClr val="dk1">
            <a:lumMod val="5000"/>
            <a:lumOff val="95000"/>
          </a:schemeClr>
        </a:solidFill>
        <a:round/>
      </a:ln>
    </cs:spPr>
  </cs:gridlineMinor>
  <cs:hiLoLine>
    <cs:lnRef idx="0"/>
    <cs:fillRef idx="0"/>
    <cs:effectRef idx="0"/>
    <cs:fontRef idx="minor">
      <a:schemeClr val="tx1"/>
    </cs:fontRef>
    <cs:spPr>
      <a:ln w="9525">
        <a:solidFill>
          <a:schemeClr val="dk1">
            <a:lumMod val="35000"/>
            <a:lumOff val="65000"/>
          </a:schemeClr>
        </a:solidFill>
      </a:ln>
    </cs:spPr>
  </cs:hiLoLine>
  <cs:leaderLine>
    <cs:lnRef idx="0"/>
    <cs:fillRef idx="0"/>
    <cs:effectRef idx="0"/>
    <cs:fontRef idx="minor">
      <a:schemeClr val="tx1"/>
    </cs:fontRef>
    <cs:spPr>
      <a:ln w="9525">
        <a:solidFill>
          <a:schemeClr val="dk1">
            <a:lumMod val="35000"/>
            <a:lumOff val="65000"/>
          </a:schemeClr>
        </a:solidFill>
      </a:ln>
    </cs:spPr>
  </cs:leaderLine>
  <cs:legend>
    <cs:lnRef idx="0"/>
    <cs:fillRef idx="0"/>
    <cs:effectRef idx="0"/>
    <cs:fontRef idx="minor">
      <a:schemeClr val="dk1">
        <a:lumMod val="50000"/>
        <a:lumOff val="50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tx1">
        <a:lumMod val="50000"/>
        <a:lumOff val="50000"/>
      </a:schemeClr>
    </cs:fontRef>
    <cs:spPr>
      <a:ln w="9525">
        <a:solidFill>
          <a:schemeClr val="dk1">
            <a:lumMod val="15000"/>
            <a:lumOff val="85000"/>
          </a:schemeClr>
        </a:solidFill>
      </a:ln>
    </cs:spPr>
    <cs:defRPr sz="900" kern="1200"/>
  </cs:seriesAxis>
  <cs:seriesLine>
    <cs:lnRef idx="0"/>
    <cs:fillRef idx="0"/>
    <cs:effectRef idx="0"/>
    <cs:fontRef idx="minor">
      <a:schemeClr val="tx1"/>
    </cs:fontRef>
    <cs:spPr>
      <a:ln w="9525">
        <a:solidFill>
          <a:schemeClr val="dk1">
            <a:lumMod val="35000"/>
            <a:lumOff val="65000"/>
          </a:schemeClr>
        </a:solidFill>
      </a:ln>
    </cs:spPr>
  </cs:seriesLine>
  <cs:title>
    <cs:lnRef idx="0"/>
    <cs:fillRef idx="0"/>
    <cs:effectRef idx="0"/>
    <cs:fontRef idx="minor">
      <a:schemeClr val="dk1">
        <a:lumMod val="50000"/>
        <a:lumOff val="50000"/>
      </a:schemeClr>
    </cs:fontRef>
    <cs:defRPr sz="1600" b="0" kern="1200" spc="70" baseline="0"/>
  </cs:title>
  <cs:trendline>
    <cs:lnRef idx="0">
      <cs:styleClr val="0"/>
    </cs:lnRef>
    <cs:fillRef idx="0"/>
    <cs:effectRef idx="0"/>
    <cs:fontRef idx="minor">
      <a:schemeClr val="tx1"/>
    </cs:fontRef>
    <cs:spPr>
      <a:ln w="63500" cap="rnd" cmpd="sng" algn="ctr">
        <a:solidFill>
          <a:schemeClr val="phClr">
            <a:alpha val="25000"/>
          </a:schemeClr>
        </a:solidFill>
        <a:round/>
      </a:ln>
    </cs:spPr>
  </cs:trendline>
  <cs:trendlineLabel>
    <cs:lnRef idx="0"/>
    <cs:fillRef idx="0"/>
    <cs:effectRef idx="0"/>
    <cs:fontRef idx="minor">
      <a:schemeClr val="dk1">
        <a:lumMod val="50000"/>
        <a:lumOff val="50000"/>
      </a:schemeClr>
    </cs:fontRef>
    <cs:defRPr sz="900" kern="1200"/>
  </cs:trendlineLabel>
  <cs:upBar>
    <cs:lnRef idx="0"/>
    <cs:fillRef idx="0"/>
    <cs:effectRef idx="0"/>
    <cs:fontRef idx="minor">
      <a:schemeClr val="tx1"/>
    </cs:fontRef>
    <cs:spPr>
      <a:solidFill>
        <a:schemeClr val="lt1"/>
      </a:solidFill>
      <a:ln w="9525">
        <a:solidFill>
          <a:schemeClr val="dk1">
            <a:lumMod val="50000"/>
            <a:lumOff val="50000"/>
          </a:schemeClr>
        </a:solidFill>
      </a:ln>
    </cs:spPr>
  </cs:upBar>
  <cs:valueAxis>
    <cs:lnRef idx="0"/>
    <cs:fillRef idx="0"/>
    <cs:effectRef idx="0"/>
    <cs:fontRef idx="minor">
      <a:schemeClr val="dk1">
        <a:lumMod val="50000"/>
        <a:lumOff val="50000"/>
      </a:schemeClr>
    </cs:fontRef>
    <cs:defRPr sz="900" kern="1200"/>
  </cs:valueAxis>
  <cs:wall>
    <cs:lnRef idx="0"/>
    <cs:fillRef idx="0"/>
    <cs:effectRef idx="0"/>
    <cs:fontRef idx="minor">
      <a:schemeClr val="tx1"/>
    </cs:fontRef>
  </cs:wall>
</cs:chartStyle>
</file>

<file path=word/charts/style2.xml><?xml version="1.0" encoding="utf-8"?>
<cs:chartStyle xmlns:cs="http://schemas.microsoft.com/office/drawing/2012/chartStyle" xmlns:a="http://schemas.openxmlformats.org/drawingml/2006/main" id="319">
  <cs:axisTitle>
    <cs:lnRef idx="0"/>
    <cs:fillRef idx="0"/>
    <cs:effectRef idx="0"/>
    <cs:fontRef idx="minor">
      <a:schemeClr val="dk1">
        <a:lumMod val="50000"/>
        <a:lumOff val="50000"/>
      </a:schemeClr>
    </cs:fontRef>
    <cs:defRPr sz="900" b="1" kern="1200"/>
  </cs:axisTitle>
  <cs:categoryAxis>
    <cs:lnRef idx="0"/>
    <cs:fillRef idx="0"/>
    <cs:effectRef idx="0"/>
    <cs:fontRef idx="minor">
      <a:schemeClr val="dk1">
        <a:lumMod val="50000"/>
        <a:lumOff val="50000"/>
      </a:schemeClr>
    </cs:fontRef>
    <cs:spPr>
      <a:ln w="9525" cap="flat" cmpd="sng" algn="ctr">
        <a:solidFill>
          <a:schemeClr val="dk1">
            <a:lumMod val="15000"/>
            <a:lumOff val="85000"/>
          </a:schemeClr>
        </a:solidFill>
        <a:round/>
      </a:ln>
    </cs:spPr>
    <cs:defRPr sz="900" kern="1200"/>
  </cs:categoryAxis>
  <cs:chartArea>
    <cs:lnRef idx="0"/>
    <cs:fillRef idx="0"/>
    <cs:effectRef idx="0"/>
    <cs:fontRef idx="minor">
      <a:schemeClr val="dk1"/>
    </cs:fontRef>
    <cs:spPr>
      <a:gradFill flip="none" rotWithShape="1">
        <a:gsLst>
          <a:gs pos="100000">
            <a:schemeClr val="lt1">
              <a:lumMod val="95000"/>
            </a:schemeClr>
          </a:gs>
          <a:gs pos="43000">
            <a:schemeClr val="lt1"/>
          </a:gs>
        </a:gsLst>
        <a:path path="circle">
          <a:fillToRect l="50000" t="50000" r="50000" b="50000"/>
        </a:path>
        <a:tileRect/>
      </a:gra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50000"/>
        <a:lumOff val="50000"/>
      </a:schemeClr>
    </cs:fontRef>
    <cs:defRPr sz="900" kern="1200"/>
  </cs:dataLabel>
  <cs:dataLabelCallout>
    <cs:lnRef idx="0"/>
    <cs:fillRef idx="0"/>
    <cs:effectRef idx="0"/>
    <cs:fontRef idx="minor">
      <a:schemeClr val="dk1">
        <a:lumMod val="65000"/>
        <a:lumOff val="35000"/>
      </a:schemeClr>
    </cs:fontRef>
    <cs:spPr>
      <a:solidFill>
        <a:schemeClr val="dk1">
          <a:lumMod val="15000"/>
          <a:lumOff val="85000"/>
        </a:schemeClr>
      </a:solidFill>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tx1"/>
    </cs:fontRef>
    <cs:spPr>
      <a:solidFill>
        <a:schemeClr val="phClr">
          <a:alpha val="10196"/>
        </a:schemeClr>
      </a:solidFill>
      <a:ln w="50800">
        <a:solidFill>
          <a:schemeClr val="phClr">
            <a:alpha val="30000"/>
          </a:schemeClr>
        </a:solidFill>
      </a:ln>
    </cs:spPr>
  </cs:dataPoint>
  <cs:dataPoint3D>
    <cs:lnRef idx="0">
      <cs:styleClr val="auto"/>
    </cs:lnRef>
    <cs:fillRef idx="0">
      <cs:styleClr val="auto"/>
    </cs:fillRef>
    <cs:effectRef idx="0"/>
    <cs:fontRef idx="minor">
      <a:schemeClr val="tx1"/>
    </cs:fontRef>
    <cs:spPr>
      <a:solidFill>
        <a:schemeClr val="phClr">
          <a:alpha val="10196"/>
        </a:schemeClr>
      </a:solidFill>
      <a:ln w="50800">
        <a:solidFill>
          <a:schemeClr val="phClr">
            <a:alpha val="30000"/>
          </a:schemeClr>
        </a:solidFill>
      </a:ln>
    </cs:spPr>
  </cs:dataPoint3D>
  <cs:dataPointLine>
    <cs:lnRef idx="0">
      <cs:styleClr val="auto"/>
    </cs:lnRef>
    <cs:fillRef idx="0"/>
    <cs:effectRef idx="0"/>
    <cs:fontRef idx="minor">
      <a:schemeClr val="tx1"/>
    </cs:fontRef>
    <cs:spPr>
      <a:ln w="50800" cap="rnd" cmpd="sng" algn="ctr">
        <a:solidFill>
          <a:schemeClr val="phClr">
            <a:alpha val="30000"/>
          </a:schemeClr>
        </a:solidFill>
        <a:round/>
      </a:ln>
    </cs:spPr>
  </cs:dataPointLine>
  <cs:dataPointMarker>
    <cs:lnRef idx="0"/>
    <cs:fillRef idx="0">
      <cs:styleClr val="auto"/>
    </cs:fillRef>
    <cs:effectRef idx="0"/>
    <cs:fontRef idx="minor">
      <a:schemeClr val="tx1"/>
    </cs:fontRef>
    <cs:spPr>
      <a:solidFill>
        <a:schemeClr val="phClr"/>
      </a:solidFill>
      <a:ln w="12700" cap="flat" cmpd="sng" algn="ctr">
        <a:solidFill>
          <a:schemeClr val="lt1"/>
        </a:solidFill>
        <a:round/>
      </a:ln>
    </cs:spPr>
  </cs:dataPointMarker>
  <cs:dataPointMarkerLayout symbol="circle" size="4"/>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dk1">
        <a:lumMod val="50000"/>
        <a:lumOff val="50000"/>
      </a:schemeClr>
    </cs:fontRef>
    <cs:spPr>
      <a:ln w="9525" cap="rnd">
        <a:solidFill>
          <a:schemeClr val="dk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a:solidFill>
          <a:schemeClr val="dk1">
            <a:lumMod val="50000"/>
            <a:lumOff val="50000"/>
          </a:schemeClr>
        </a:solidFill>
      </a:ln>
    </cs:spPr>
  </cs:downBar>
  <cs:dropLine>
    <cs:lnRef idx="0"/>
    <cs:fillRef idx="0"/>
    <cs:effectRef idx="0"/>
    <cs:fontRef idx="minor">
      <a:schemeClr val="tx1"/>
    </cs:fontRef>
    <cs:spPr>
      <a:ln w="9525">
        <a:solidFill>
          <a:schemeClr val="dk1">
            <a:lumMod val="35000"/>
            <a:lumOff val="65000"/>
          </a:schemeClr>
        </a:solidFill>
      </a:ln>
    </cs:spPr>
  </cs:dropLine>
  <cs:errorBar>
    <cs:lnRef idx="0"/>
    <cs:fillRef idx="0"/>
    <cs:effectRef idx="0"/>
    <cs:fontRef idx="minor">
      <a:schemeClr val="tx1"/>
    </cs:fontRef>
    <cs:spPr>
      <a:ln w="9525">
        <a:solidFill>
          <a:schemeClr val="dk1">
            <a:lumMod val="50000"/>
            <a:lumOff val="50000"/>
          </a:schemeClr>
        </a:solidFill>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15000"/>
            <a:lumOff val="85000"/>
          </a:schemeClr>
        </a:solidFill>
        <a:round/>
      </a:ln>
    </cs:spPr>
  </cs:gridlineMajor>
  <cs:gridlineMinor>
    <cs:lnRef idx="0"/>
    <cs:fillRef idx="0"/>
    <cs:effectRef idx="0"/>
    <cs:fontRef idx="minor">
      <a:schemeClr val="tx1"/>
    </cs:fontRef>
    <cs:spPr>
      <a:ln w="9525" cap="flat" cmpd="sng" algn="ctr">
        <a:solidFill>
          <a:schemeClr val="dk1">
            <a:lumMod val="5000"/>
            <a:lumOff val="95000"/>
          </a:schemeClr>
        </a:solidFill>
        <a:round/>
      </a:ln>
    </cs:spPr>
  </cs:gridlineMinor>
  <cs:hiLoLine>
    <cs:lnRef idx="0"/>
    <cs:fillRef idx="0"/>
    <cs:effectRef idx="0"/>
    <cs:fontRef idx="minor">
      <a:schemeClr val="tx1"/>
    </cs:fontRef>
    <cs:spPr>
      <a:ln w="9525">
        <a:solidFill>
          <a:schemeClr val="dk1">
            <a:lumMod val="35000"/>
            <a:lumOff val="65000"/>
          </a:schemeClr>
        </a:solidFill>
      </a:ln>
    </cs:spPr>
  </cs:hiLoLine>
  <cs:leaderLine>
    <cs:lnRef idx="0"/>
    <cs:fillRef idx="0"/>
    <cs:effectRef idx="0"/>
    <cs:fontRef idx="minor">
      <a:schemeClr val="tx1"/>
    </cs:fontRef>
    <cs:spPr>
      <a:ln w="9525">
        <a:solidFill>
          <a:schemeClr val="dk1">
            <a:lumMod val="35000"/>
            <a:lumOff val="65000"/>
          </a:schemeClr>
        </a:solidFill>
      </a:ln>
    </cs:spPr>
  </cs:leaderLine>
  <cs:legend>
    <cs:lnRef idx="0"/>
    <cs:fillRef idx="0"/>
    <cs:effectRef idx="0"/>
    <cs:fontRef idx="minor">
      <a:schemeClr val="dk1">
        <a:lumMod val="50000"/>
        <a:lumOff val="50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tx1">
        <a:lumMod val="50000"/>
        <a:lumOff val="50000"/>
      </a:schemeClr>
    </cs:fontRef>
    <cs:spPr>
      <a:ln w="9525">
        <a:solidFill>
          <a:schemeClr val="dk1">
            <a:lumMod val="15000"/>
            <a:lumOff val="85000"/>
          </a:schemeClr>
        </a:solidFill>
      </a:ln>
    </cs:spPr>
    <cs:defRPr sz="900" kern="1200"/>
  </cs:seriesAxis>
  <cs:seriesLine>
    <cs:lnRef idx="0"/>
    <cs:fillRef idx="0"/>
    <cs:effectRef idx="0"/>
    <cs:fontRef idx="minor">
      <a:schemeClr val="tx1"/>
    </cs:fontRef>
    <cs:spPr>
      <a:ln w="9525">
        <a:solidFill>
          <a:schemeClr val="dk1">
            <a:lumMod val="35000"/>
            <a:lumOff val="65000"/>
          </a:schemeClr>
        </a:solidFill>
      </a:ln>
    </cs:spPr>
  </cs:seriesLine>
  <cs:title>
    <cs:lnRef idx="0"/>
    <cs:fillRef idx="0"/>
    <cs:effectRef idx="0"/>
    <cs:fontRef idx="minor">
      <a:schemeClr val="dk1">
        <a:lumMod val="50000"/>
        <a:lumOff val="50000"/>
      </a:schemeClr>
    </cs:fontRef>
    <cs:defRPr sz="1600" b="0" kern="1200" spc="70" baseline="0"/>
  </cs:title>
  <cs:trendline>
    <cs:lnRef idx="0">
      <cs:styleClr val="0"/>
    </cs:lnRef>
    <cs:fillRef idx="0"/>
    <cs:effectRef idx="0"/>
    <cs:fontRef idx="minor">
      <a:schemeClr val="tx1"/>
    </cs:fontRef>
    <cs:spPr>
      <a:ln w="63500" cap="rnd" cmpd="sng" algn="ctr">
        <a:solidFill>
          <a:schemeClr val="phClr">
            <a:alpha val="25000"/>
          </a:schemeClr>
        </a:solidFill>
        <a:round/>
      </a:ln>
    </cs:spPr>
  </cs:trendline>
  <cs:trendlineLabel>
    <cs:lnRef idx="0"/>
    <cs:fillRef idx="0"/>
    <cs:effectRef idx="0"/>
    <cs:fontRef idx="minor">
      <a:schemeClr val="dk1">
        <a:lumMod val="50000"/>
        <a:lumOff val="50000"/>
      </a:schemeClr>
    </cs:fontRef>
    <cs:defRPr sz="900" kern="1200"/>
  </cs:trendlineLabel>
  <cs:upBar>
    <cs:lnRef idx="0"/>
    <cs:fillRef idx="0"/>
    <cs:effectRef idx="0"/>
    <cs:fontRef idx="minor">
      <a:schemeClr val="tx1"/>
    </cs:fontRef>
    <cs:spPr>
      <a:solidFill>
        <a:schemeClr val="lt1"/>
      </a:solidFill>
      <a:ln w="9525">
        <a:solidFill>
          <a:schemeClr val="dk1">
            <a:lumMod val="50000"/>
            <a:lumOff val="50000"/>
          </a:schemeClr>
        </a:solidFill>
      </a:ln>
    </cs:spPr>
  </cs:upBar>
  <cs:valueAxis>
    <cs:lnRef idx="0"/>
    <cs:fillRef idx="0"/>
    <cs:effectRef idx="0"/>
    <cs:fontRef idx="minor">
      <a:schemeClr val="dk1">
        <a:lumMod val="50000"/>
        <a:lumOff val="50000"/>
      </a:schemeClr>
    </cs:fontRef>
    <cs:defRPr sz="900" kern="1200"/>
  </cs:valueAxis>
  <cs:wall>
    <cs:lnRef idx="0"/>
    <cs:fillRef idx="0"/>
    <cs:effectRef idx="0"/>
    <cs:fontRef idx="minor">
      <a:schemeClr val="tx1"/>
    </cs:fontRef>
  </cs:wall>
</cs:chartStyle>
</file>

<file path=word/charts/style3.xml><?xml version="1.0" encoding="utf-8"?>
<cs:chartStyle xmlns:cs="http://schemas.microsoft.com/office/drawing/2012/chartStyle" xmlns:a="http://schemas.openxmlformats.org/drawingml/2006/main" id="319">
  <cs:axisTitle>
    <cs:lnRef idx="0"/>
    <cs:fillRef idx="0"/>
    <cs:effectRef idx="0"/>
    <cs:fontRef idx="minor">
      <a:schemeClr val="dk1">
        <a:lumMod val="50000"/>
        <a:lumOff val="50000"/>
      </a:schemeClr>
    </cs:fontRef>
    <cs:defRPr sz="900" b="1" kern="1200"/>
  </cs:axisTitle>
  <cs:categoryAxis>
    <cs:lnRef idx="0"/>
    <cs:fillRef idx="0"/>
    <cs:effectRef idx="0"/>
    <cs:fontRef idx="minor">
      <a:schemeClr val="dk1">
        <a:lumMod val="50000"/>
        <a:lumOff val="50000"/>
      </a:schemeClr>
    </cs:fontRef>
    <cs:spPr>
      <a:ln w="9525" cap="flat" cmpd="sng" algn="ctr">
        <a:solidFill>
          <a:schemeClr val="dk1">
            <a:lumMod val="15000"/>
            <a:lumOff val="85000"/>
          </a:schemeClr>
        </a:solidFill>
        <a:round/>
      </a:ln>
    </cs:spPr>
    <cs:defRPr sz="900" kern="1200"/>
  </cs:categoryAxis>
  <cs:chartArea>
    <cs:lnRef idx="0"/>
    <cs:fillRef idx="0"/>
    <cs:effectRef idx="0"/>
    <cs:fontRef idx="minor">
      <a:schemeClr val="dk1"/>
    </cs:fontRef>
    <cs:spPr>
      <a:gradFill flip="none" rotWithShape="1">
        <a:gsLst>
          <a:gs pos="100000">
            <a:schemeClr val="lt1">
              <a:lumMod val="95000"/>
            </a:schemeClr>
          </a:gs>
          <a:gs pos="43000">
            <a:schemeClr val="lt1"/>
          </a:gs>
        </a:gsLst>
        <a:path path="circle">
          <a:fillToRect l="50000" t="50000" r="50000" b="50000"/>
        </a:path>
        <a:tileRect/>
      </a:gra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50000"/>
        <a:lumOff val="50000"/>
      </a:schemeClr>
    </cs:fontRef>
    <cs:defRPr sz="900" kern="1200"/>
  </cs:dataLabel>
  <cs:dataLabelCallout>
    <cs:lnRef idx="0"/>
    <cs:fillRef idx="0"/>
    <cs:effectRef idx="0"/>
    <cs:fontRef idx="minor">
      <a:schemeClr val="dk1">
        <a:lumMod val="65000"/>
        <a:lumOff val="35000"/>
      </a:schemeClr>
    </cs:fontRef>
    <cs:spPr>
      <a:solidFill>
        <a:schemeClr val="dk1">
          <a:lumMod val="15000"/>
          <a:lumOff val="85000"/>
        </a:schemeClr>
      </a:solidFill>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tx1"/>
    </cs:fontRef>
    <cs:spPr>
      <a:solidFill>
        <a:schemeClr val="phClr">
          <a:alpha val="10196"/>
        </a:schemeClr>
      </a:solidFill>
      <a:ln w="50800">
        <a:solidFill>
          <a:schemeClr val="phClr">
            <a:alpha val="30000"/>
          </a:schemeClr>
        </a:solidFill>
      </a:ln>
    </cs:spPr>
  </cs:dataPoint>
  <cs:dataPoint3D>
    <cs:lnRef idx="0">
      <cs:styleClr val="auto"/>
    </cs:lnRef>
    <cs:fillRef idx="0">
      <cs:styleClr val="auto"/>
    </cs:fillRef>
    <cs:effectRef idx="0"/>
    <cs:fontRef idx="minor">
      <a:schemeClr val="tx1"/>
    </cs:fontRef>
    <cs:spPr>
      <a:solidFill>
        <a:schemeClr val="phClr">
          <a:alpha val="10196"/>
        </a:schemeClr>
      </a:solidFill>
      <a:ln w="50800">
        <a:solidFill>
          <a:schemeClr val="phClr">
            <a:alpha val="30000"/>
          </a:schemeClr>
        </a:solidFill>
      </a:ln>
    </cs:spPr>
  </cs:dataPoint3D>
  <cs:dataPointLine>
    <cs:lnRef idx="0">
      <cs:styleClr val="auto"/>
    </cs:lnRef>
    <cs:fillRef idx="0"/>
    <cs:effectRef idx="0"/>
    <cs:fontRef idx="minor">
      <a:schemeClr val="tx1"/>
    </cs:fontRef>
    <cs:spPr>
      <a:ln w="50800" cap="rnd" cmpd="sng" algn="ctr">
        <a:solidFill>
          <a:schemeClr val="phClr">
            <a:alpha val="30000"/>
          </a:schemeClr>
        </a:solidFill>
        <a:round/>
      </a:ln>
    </cs:spPr>
  </cs:dataPointLine>
  <cs:dataPointMarker>
    <cs:lnRef idx="0"/>
    <cs:fillRef idx="0">
      <cs:styleClr val="auto"/>
    </cs:fillRef>
    <cs:effectRef idx="0"/>
    <cs:fontRef idx="minor">
      <a:schemeClr val="tx1"/>
    </cs:fontRef>
    <cs:spPr>
      <a:solidFill>
        <a:schemeClr val="phClr"/>
      </a:solidFill>
      <a:ln w="12700" cap="flat" cmpd="sng" algn="ctr">
        <a:solidFill>
          <a:schemeClr val="lt1"/>
        </a:solidFill>
        <a:round/>
      </a:ln>
    </cs:spPr>
  </cs:dataPointMarker>
  <cs:dataPointMarkerLayout symbol="circle" size="4"/>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dk1">
        <a:lumMod val="50000"/>
        <a:lumOff val="50000"/>
      </a:schemeClr>
    </cs:fontRef>
    <cs:spPr>
      <a:ln w="9525" cap="rnd">
        <a:solidFill>
          <a:schemeClr val="dk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a:solidFill>
          <a:schemeClr val="dk1">
            <a:lumMod val="50000"/>
            <a:lumOff val="50000"/>
          </a:schemeClr>
        </a:solidFill>
      </a:ln>
    </cs:spPr>
  </cs:downBar>
  <cs:dropLine>
    <cs:lnRef idx="0"/>
    <cs:fillRef idx="0"/>
    <cs:effectRef idx="0"/>
    <cs:fontRef idx="minor">
      <a:schemeClr val="tx1"/>
    </cs:fontRef>
    <cs:spPr>
      <a:ln w="9525">
        <a:solidFill>
          <a:schemeClr val="dk1">
            <a:lumMod val="35000"/>
            <a:lumOff val="65000"/>
          </a:schemeClr>
        </a:solidFill>
      </a:ln>
    </cs:spPr>
  </cs:dropLine>
  <cs:errorBar>
    <cs:lnRef idx="0"/>
    <cs:fillRef idx="0"/>
    <cs:effectRef idx="0"/>
    <cs:fontRef idx="minor">
      <a:schemeClr val="tx1"/>
    </cs:fontRef>
    <cs:spPr>
      <a:ln w="9525">
        <a:solidFill>
          <a:schemeClr val="dk1">
            <a:lumMod val="50000"/>
            <a:lumOff val="50000"/>
          </a:schemeClr>
        </a:solidFill>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15000"/>
            <a:lumOff val="85000"/>
          </a:schemeClr>
        </a:solidFill>
        <a:round/>
      </a:ln>
    </cs:spPr>
  </cs:gridlineMajor>
  <cs:gridlineMinor>
    <cs:lnRef idx="0"/>
    <cs:fillRef idx="0"/>
    <cs:effectRef idx="0"/>
    <cs:fontRef idx="minor">
      <a:schemeClr val="tx1"/>
    </cs:fontRef>
    <cs:spPr>
      <a:ln w="9525" cap="flat" cmpd="sng" algn="ctr">
        <a:solidFill>
          <a:schemeClr val="dk1">
            <a:lumMod val="5000"/>
            <a:lumOff val="95000"/>
          </a:schemeClr>
        </a:solidFill>
        <a:round/>
      </a:ln>
    </cs:spPr>
  </cs:gridlineMinor>
  <cs:hiLoLine>
    <cs:lnRef idx="0"/>
    <cs:fillRef idx="0"/>
    <cs:effectRef idx="0"/>
    <cs:fontRef idx="minor">
      <a:schemeClr val="tx1"/>
    </cs:fontRef>
    <cs:spPr>
      <a:ln w="9525">
        <a:solidFill>
          <a:schemeClr val="dk1">
            <a:lumMod val="35000"/>
            <a:lumOff val="65000"/>
          </a:schemeClr>
        </a:solidFill>
      </a:ln>
    </cs:spPr>
  </cs:hiLoLine>
  <cs:leaderLine>
    <cs:lnRef idx="0"/>
    <cs:fillRef idx="0"/>
    <cs:effectRef idx="0"/>
    <cs:fontRef idx="minor">
      <a:schemeClr val="tx1"/>
    </cs:fontRef>
    <cs:spPr>
      <a:ln w="9525">
        <a:solidFill>
          <a:schemeClr val="dk1">
            <a:lumMod val="35000"/>
            <a:lumOff val="65000"/>
          </a:schemeClr>
        </a:solidFill>
      </a:ln>
    </cs:spPr>
  </cs:leaderLine>
  <cs:legend>
    <cs:lnRef idx="0"/>
    <cs:fillRef idx="0"/>
    <cs:effectRef idx="0"/>
    <cs:fontRef idx="minor">
      <a:schemeClr val="dk1">
        <a:lumMod val="50000"/>
        <a:lumOff val="50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tx1">
        <a:lumMod val="50000"/>
        <a:lumOff val="50000"/>
      </a:schemeClr>
    </cs:fontRef>
    <cs:spPr>
      <a:ln w="9525">
        <a:solidFill>
          <a:schemeClr val="dk1">
            <a:lumMod val="15000"/>
            <a:lumOff val="85000"/>
          </a:schemeClr>
        </a:solidFill>
      </a:ln>
    </cs:spPr>
    <cs:defRPr sz="900" kern="1200"/>
  </cs:seriesAxis>
  <cs:seriesLine>
    <cs:lnRef idx="0"/>
    <cs:fillRef idx="0"/>
    <cs:effectRef idx="0"/>
    <cs:fontRef idx="minor">
      <a:schemeClr val="tx1"/>
    </cs:fontRef>
    <cs:spPr>
      <a:ln w="9525">
        <a:solidFill>
          <a:schemeClr val="dk1">
            <a:lumMod val="35000"/>
            <a:lumOff val="65000"/>
          </a:schemeClr>
        </a:solidFill>
      </a:ln>
    </cs:spPr>
  </cs:seriesLine>
  <cs:title>
    <cs:lnRef idx="0"/>
    <cs:fillRef idx="0"/>
    <cs:effectRef idx="0"/>
    <cs:fontRef idx="minor">
      <a:schemeClr val="dk1">
        <a:lumMod val="50000"/>
        <a:lumOff val="50000"/>
      </a:schemeClr>
    </cs:fontRef>
    <cs:defRPr sz="1600" b="0" kern="1200" spc="70" baseline="0"/>
  </cs:title>
  <cs:trendline>
    <cs:lnRef idx="0">
      <cs:styleClr val="0"/>
    </cs:lnRef>
    <cs:fillRef idx="0"/>
    <cs:effectRef idx="0"/>
    <cs:fontRef idx="minor">
      <a:schemeClr val="tx1"/>
    </cs:fontRef>
    <cs:spPr>
      <a:ln w="63500" cap="rnd" cmpd="sng" algn="ctr">
        <a:solidFill>
          <a:schemeClr val="phClr">
            <a:alpha val="25000"/>
          </a:schemeClr>
        </a:solidFill>
        <a:round/>
      </a:ln>
    </cs:spPr>
  </cs:trendline>
  <cs:trendlineLabel>
    <cs:lnRef idx="0"/>
    <cs:fillRef idx="0"/>
    <cs:effectRef idx="0"/>
    <cs:fontRef idx="minor">
      <a:schemeClr val="dk1">
        <a:lumMod val="50000"/>
        <a:lumOff val="50000"/>
      </a:schemeClr>
    </cs:fontRef>
    <cs:defRPr sz="900" kern="1200"/>
  </cs:trendlineLabel>
  <cs:upBar>
    <cs:lnRef idx="0"/>
    <cs:fillRef idx="0"/>
    <cs:effectRef idx="0"/>
    <cs:fontRef idx="minor">
      <a:schemeClr val="tx1"/>
    </cs:fontRef>
    <cs:spPr>
      <a:solidFill>
        <a:schemeClr val="lt1"/>
      </a:solidFill>
      <a:ln w="9525">
        <a:solidFill>
          <a:schemeClr val="dk1">
            <a:lumMod val="50000"/>
            <a:lumOff val="50000"/>
          </a:schemeClr>
        </a:solidFill>
      </a:ln>
    </cs:spPr>
  </cs:upBar>
  <cs:valueAxis>
    <cs:lnRef idx="0"/>
    <cs:fillRef idx="0"/>
    <cs:effectRef idx="0"/>
    <cs:fontRef idx="minor">
      <a:schemeClr val="dk1">
        <a:lumMod val="50000"/>
        <a:lumOff val="50000"/>
      </a:schemeClr>
    </cs:fontRef>
    <cs:defRPr sz="900" kern="1200"/>
  </cs:valueAxis>
  <cs:wall>
    <cs:lnRef idx="0"/>
    <cs:fillRef idx="0"/>
    <cs:effectRef idx="0"/>
    <cs:fontRef idx="minor">
      <a:schemeClr val="tx1"/>
    </cs:fontRef>
  </cs:wall>
</cs:chartStyle>
</file>

<file path=word/charts/style4.xml><?xml version="1.0" encoding="utf-8"?>
<cs:chartStyle xmlns:cs="http://schemas.microsoft.com/office/drawing/2012/chartStyle" xmlns:a="http://schemas.openxmlformats.org/drawingml/2006/main" id="319">
  <cs:axisTitle>
    <cs:lnRef idx="0"/>
    <cs:fillRef idx="0"/>
    <cs:effectRef idx="0"/>
    <cs:fontRef idx="minor">
      <a:schemeClr val="dk1">
        <a:lumMod val="50000"/>
        <a:lumOff val="50000"/>
      </a:schemeClr>
    </cs:fontRef>
    <cs:defRPr sz="900" b="1" kern="1200"/>
  </cs:axisTitle>
  <cs:categoryAxis>
    <cs:lnRef idx="0"/>
    <cs:fillRef idx="0"/>
    <cs:effectRef idx="0"/>
    <cs:fontRef idx="minor">
      <a:schemeClr val="dk1">
        <a:lumMod val="50000"/>
        <a:lumOff val="50000"/>
      </a:schemeClr>
    </cs:fontRef>
    <cs:spPr>
      <a:ln w="9525" cap="flat" cmpd="sng" algn="ctr">
        <a:solidFill>
          <a:schemeClr val="dk1">
            <a:lumMod val="15000"/>
            <a:lumOff val="85000"/>
          </a:schemeClr>
        </a:solidFill>
        <a:round/>
      </a:ln>
    </cs:spPr>
    <cs:defRPr sz="900" kern="1200"/>
  </cs:categoryAxis>
  <cs:chartArea>
    <cs:lnRef idx="0"/>
    <cs:fillRef idx="0"/>
    <cs:effectRef idx="0"/>
    <cs:fontRef idx="minor">
      <a:schemeClr val="dk1"/>
    </cs:fontRef>
    <cs:spPr>
      <a:gradFill flip="none" rotWithShape="1">
        <a:gsLst>
          <a:gs pos="100000">
            <a:schemeClr val="lt1">
              <a:lumMod val="95000"/>
            </a:schemeClr>
          </a:gs>
          <a:gs pos="43000">
            <a:schemeClr val="lt1"/>
          </a:gs>
        </a:gsLst>
        <a:path path="circle">
          <a:fillToRect l="50000" t="50000" r="50000" b="50000"/>
        </a:path>
        <a:tileRect/>
      </a:gra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50000"/>
        <a:lumOff val="50000"/>
      </a:schemeClr>
    </cs:fontRef>
    <cs:defRPr sz="900" kern="1200"/>
  </cs:dataLabel>
  <cs:dataLabelCallout>
    <cs:lnRef idx="0"/>
    <cs:fillRef idx="0"/>
    <cs:effectRef idx="0"/>
    <cs:fontRef idx="minor">
      <a:schemeClr val="dk1">
        <a:lumMod val="65000"/>
        <a:lumOff val="35000"/>
      </a:schemeClr>
    </cs:fontRef>
    <cs:spPr>
      <a:solidFill>
        <a:schemeClr val="dk1">
          <a:lumMod val="15000"/>
          <a:lumOff val="85000"/>
        </a:schemeClr>
      </a:solidFill>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tx1"/>
    </cs:fontRef>
    <cs:spPr>
      <a:solidFill>
        <a:schemeClr val="phClr">
          <a:alpha val="10196"/>
        </a:schemeClr>
      </a:solidFill>
      <a:ln w="50800">
        <a:solidFill>
          <a:schemeClr val="phClr">
            <a:alpha val="30000"/>
          </a:schemeClr>
        </a:solidFill>
      </a:ln>
    </cs:spPr>
  </cs:dataPoint>
  <cs:dataPoint3D>
    <cs:lnRef idx="0">
      <cs:styleClr val="auto"/>
    </cs:lnRef>
    <cs:fillRef idx="0">
      <cs:styleClr val="auto"/>
    </cs:fillRef>
    <cs:effectRef idx="0"/>
    <cs:fontRef idx="minor">
      <a:schemeClr val="tx1"/>
    </cs:fontRef>
    <cs:spPr>
      <a:solidFill>
        <a:schemeClr val="phClr">
          <a:alpha val="10196"/>
        </a:schemeClr>
      </a:solidFill>
      <a:ln w="50800">
        <a:solidFill>
          <a:schemeClr val="phClr">
            <a:alpha val="30000"/>
          </a:schemeClr>
        </a:solidFill>
      </a:ln>
    </cs:spPr>
  </cs:dataPoint3D>
  <cs:dataPointLine>
    <cs:lnRef idx="0">
      <cs:styleClr val="auto"/>
    </cs:lnRef>
    <cs:fillRef idx="0"/>
    <cs:effectRef idx="0"/>
    <cs:fontRef idx="minor">
      <a:schemeClr val="tx1"/>
    </cs:fontRef>
    <cs:spPr>
      <a:ln w="50800" cap="rnd" cmpd="sng" algn="ctr">
        <a:solidFill>
          <a:schemeClr val="phClr">
            <a:alpha val="30000"/>
          </a:schemeClr>
        </a:solidFill>
        <a:round/>
      </a:ln>
    </cs:spPr>
  </cs:dataPointLine>
  <cs:dataPointMarker>
    <cs:lnRef idx="0"/>
    <cs:fillRef idx="0">
      <cs:styleClr val="auto"/>
    </cs:fillRef>
    <cs:effectRef idx="0"/>
    <cs:fontRef idx="minor">
      <a:schemeClr val="tx1"/>
    </cs:fontRef>
    <cs:spPr>
      <a:solidFill>
        <a:schemeClr val="phClr"/>
      </a:solidFill>
      <a:ln w="12700" cap="flat" cmpd="sng" algn="ctr">
        <a:solidFill>
          <a:schemeClr val="lt1"/>
        </a:solidFill>
        <a:round/>
      </a:ln>
    </cs:spPr>
  </cs:dataPointMarker>
  <cs:dataPointMarkerLayout symbol="circle" size="4"/>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dk1">
        <a:lumMod val="50000"/>
        <a:lumOff val="50000"/>
      </a:schemeClr>
    </cs:fontRef>
    <cs:spPr>
      <a:ln w="9525" cap="rnd">
        <a:solidFill>
          <a:schemeClr val="dk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a:solidFill>
          <a:schemeClr val="dk1">
            <a:lumMod val="50000"/>
            <a:lumOff val="50000"/>
          </a:schemeClr>
        </a:solidFill>
      </a:ln>
    </cs:spPr>
  </cs:downBar>
  <cs:dropLine>
    <cs:lnRef idx="0"/>
    <cs:fillRef idx="0"/>
    <cs:effectRef idx="0"/>
    <cs:fontRef idx="minor">
      <a:schemeClr val="tx1"/>
    </cs:fontRef>
    <cs:spPr>
      <a:ln w="9525">
        <a:solidFill>
          <a:schemeClr val="dk1">
            <a:lumMod val="35000"/>
            <a:lumOff val="65000"/>
          </a:schemeClr>
        </a:solidFill>
      </a:ln>
    </cs:spPr>
  </cs:dropLine>
  <cs:errorBar>
    <cs:lnRef idx="0"/>
    <cs:fillRef idx="0"/>
    <cs:effectRef idx="0"/>
    <cs:fontRef idx="minor">
      <a:schemeClr val="tx1"/>
    </cs:fontRef>
    <cs:spPr>
      <a:ln w="9525">
        <a:solidFill>
          <a:schemeClr val="dk1">
            <a:lumMod val="50000"/>
            <a:lumOff val="50000"/>
          </a:schemeClr>
        </a:solidFill>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15000"/>
            <a:lumOff val="85000"/>
          </a:schemeClr>
        </a:solidFill>
        <a:round/>
      </a:ln>
    </cs:spPr>
  </cs:gridlineMajor>
  <cs:gridlineMinor>
    <cs:lnRef idx="0"/>
    <cs:fillRef idx="0"/>
    <cs:effectRef idx="0"/>
    <cs:fontRef idx="minor">
      <a:schemeClr val="tx1"/>
    </cs:fontRef>
    <cs:spPr>
      <a:ln w="9525" cap="flat" cmpd="sng" algn="ctr">
        <a:solidFill>
          <a:schemeClr val="dk1">
            <a:lumMod val="5000"/>
            <a:lumOff val="95000"/>
          </a:schemeClr>
        </a:solidFill>
        <a:round/>
      </a:ln>
    </cs:spPr>
  </cs:gridlineMinor>
  <cs:hiLoLine>
    <cs:lnRef idx="0"/>
    <cs:fillRef idx="0"/>
    <cs:effectRef idx="0"/>
    <cs:fontRef idx="minor">
      <a:schemeClr val="tx1"/>
    </cs:fontRef>
    <cs:spPr>
      <a:ln w="9525">
        <a:solidFill>
          <a:schemeClr val="dk1">
            <a:lumMod val="35000"/>
            <a:lumOff val="65000"/>
          </a:schemeClr>
        </a:solidFill>
      </a:ln>
    </cs:spPr>
  </cs:hiLoLine>
  <cs:leaderLine>
    <cs:lnRef idx="0"/>
    <cs:fillRef idx="0"/>
    <cs:effectRef idx="0"/>
    <cs:fontRef idx="minor">
      <a:schemeClr val="tx1"/>
    </cs:fontRef>
    <cs:spPr>
      <a:ln w="9525">
        <a:solidFill>
          <a:schemeClr val="dk1">
            <a:lumMod val="35000"/>
            <a:lumOff val="65000"/>
          </a:schemeClr>
        </a:solidFill>
      </a:ln>
    </cs:spPr>
  </cs:leaderLine>
  <cs:legend>
    <cs:lnRef idx="0"/>
    <cs:fillRef idx="0"/>
    <cs:effectRef idx="0"/>
    <cs:fontRef idx="minor">
      <a:schemeClr val="dk1">
        <a:lumMod val="50000"/>
        <a:lumOff val="50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tx1">
        <a:lumMod val="50000"/>
        <a:lumOff val="50000"/>
      </a:schemeClr>
    </cs:fontRef>
    <cs:spPr>
      <a:ln w="9525">
        <a:solidFill>
          <a:schemeClr val="dk1">
            <a:lumMod val="15000"/>
            <a:lumOff val="85000"/>
          </a:schemeClr>
        </a:solidFill>
      </a:ln>
    </cs:spPr>
    <cs:defRPr sz="900" kern="1200"/>
  </cs:seriesAxis>
  <cs:seriesLine>
    <cs:lnRef idx="0"/>
    <cs:fillRef idx="0"/>
    <cs:effectRef idx="0"/>
    <cs:fontRef idx="minor">
      <a:schemeClr val="tx1"/>
    </cs:fontRef>
    <cs:spPr>
      <a:ln w="9525">
        <a:solidFill>
          <a:schemeClr val="dk1">
            <a:lumMod val="35000"/>
            <a:lumOff val="65000"/>
          </a:schemeClr>
        </a:solidFill>
      </a:ln>
    </cs:spPr>
  </cs:seriesLine>
  <cs:title>
    <cs:lnRef idx="0"/>
    <cs:fillRef idx="0"/>
    <cs:effectRef idx="0"/>
    <cs:fontRef idx="minor">
      <a:schemeClr val="dk1">
        <a:lumMod val="50000"/>
        <a:lumOff val="50000"/>
      </a:schemeClr>
    </cs:fontRef>
    <cs:defRPr sz="1600" b="0" kern="1200" spc="70" baseline="0"/>
  </cs:title>
  <cs:trendline>
    <cs:lnRef idx="0">
      <cs:styleClr val="0"/>
    </cs:lnRef>
    <cs:fillRef idx="0"/>
    <cs:effectRef idx="0"/>
    <cs:fontRef idx="minor">
      <a:schemeClr val="tx1"/>
    </cs:fontRef>
    <cs:spPr>
      <a:ln w="63500" cap="rnd" cmpd="sng" algn="ctr">
        <a:solidFill>
          <a:schemeClr val="phClr">
            <a:alpha val="25000"/>
          </a:schemeClr>
        </a:solidFill>
        <a:round/>
      </a:ln>
    </cs:spPr>
  </cs:trendline>
  <cs:trendlineLabel>
    <cs:lnRef idx="0"/>
    <cs:fillRef idx="0"/>
    <cs:effectRef idx="0"/>
    <cs:fontRef idx="minor">
      <a:schemeClr val="dk1">
        <a:lumMod val="50000"/>
        <a:lumOff val="50000"/>
      </a:schemeClr>
    </cs:fontRef>
    <cs:defRPr sz="900" kern="1200"/>
  </cs:trendlineLabel>
  <cs:upBar>
    <cs:lnRef idx="0"/>
    <cs:fillRef idx="0"/>
    <cs:effectRef idx="0"/>
    <cs:fontRef idx="minor">
      <a:schemeClr val="tx1"/>
    </cs:fontRef>
    <cs:spPr>
      <a:solidFill>
        <a:schemeClr val="lt1"/>
      </a:solidFill>
      <a:ln w="9525">
        <a:solidFill>
          <a:schemeClr val="dk1">
            <a:lumMod val="50000"/>
            <a:lumOff val="50000"/>
          </a:schemeClr>
        </a:solidFill>
      </a:ln>
    </cs:spPr>
  </cs:upBar>
  <cs:valueAxis>
    <cs:lnRef idx="0"/>
    <cs:fillRef idx="0"/>
    <cs:effectRef idx="0"/>
    <cs:fontRef idx="minor">
      <a:schemeClr val="dk1">
        <a:lumMod val="50000"/>
        <a:lumOff val="50000"/>
      </a:schemeClr>
    </cs:fontRef>
    <cs:defRPr sz="900" kern="1200"/>
  </cs:valueAxis>
  <cs:wall>
    <cs:lnRef idx="0"/>
    <cs:fillRef idx="0"/>
    <cs:effectRef idx="0"/>
    <cs:fontRef idx="minor">
      <a:schemeClr val="tx1"/>
    </cs:fontRef>
  </cs:wall>
</cs:chartStyle>
</file>

<file path=word/charts/style5.xml><?xml version="1.0" encoding="utf-8"?>
<cs:chartStyle xmlns:cs="http://schemas.microsoft.com/office/drawing/2012/chartStyle" xmlns:a="http://schemas.openxmlformats.org/drawingml/2006/main" id="319">
  <cs:axisTitle>
    <cs:lnRef idx="0"/>
    <cs:fillRef idx="0"/>
    <cs:effectRef idx="0"/>
    <cs:fontRef idx="minor">
      <a:schemeClr val="dk1">
        <a:lumMod val="50000"/>
        <a:lumOff val="50000"/>
      </a:schemeClr>
    </cs:fontRef>
    <cs:defRPr sz="900" b="1" kern="1200"/>
  </cs:axisTitle>
  <cs:categoryAxis>
    <cs:lnRef idx="0"/>
    <cs:fillRef idx="0"/>
    <cs:effectRef idx="0"/>
    <cs:fontRef idx="minor">
      <a:schemeClr val="dk1">
        <a:lumMod val="50000"/>
        <a:lumOff val="50000"/>
      </a:schemeClr>
    </cs:fontRef>
    <cs:spPr>
      <a:ln w="9525" cap="flat" cmpd="sng" algn="ctr">
        <a:solidFill>
          <a:schemeClr val="dk1">
            <a:lumMod val="15000"/>
            <a:lumOff val="85000"/>
          </a:schemeClr>
        </a:solidFill>
        <a:round/>
      </a:ln>
    </cs:spPr>
    <cs:defRPr sz="900" kern="1200"/>
  </cs:categoryAxis>
  <cs:chartArea>
    <cs:lnRef idx="0"/>
    <cs:fillRef idx="0"/>
    <cs:effectRef idx="0"/>
    <cs:fontRef idx="minor">
      <a:schemeClr val="dk1"/>
    </cs:fontRef>
    <cs:spPr>
      <a:gradFill flip="none" rotWithShape="1">
        <a:gsLst>
          <a:gs pos="100000">
            <a:schemeClr val="lt1">
              <a:lumMod val="95000"/>
            </a:schemeClr>
          </a:gs>
          <a:gs pos="43000">
            <a:schemeClr val="lt1"/>
          </a:gs>
        </a:gsLst>
        <a:path path="circle">
          <a:fillToRect l="50000" t="50000" r="50000" b="50000"/>
        </a:path>
        <a:tileRect/>
      </a:gra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50000"/>
        <a:lumOff val="50000"/>
      </a:schemeClr>
    </cs:fontRef>
    <cs:defRPr sz="900" kern="1200"/>
  </cs:dataLabel>
  <cs:dataLabelCallout>
    <cs:lnRef idx="0"/>
    <cs:fillRef idx="0"/>
    <cs:effectRef idx="0"/>
    <cs:fontRef idx="minor">
      <a:schemeClr val="dk1">
        <a:lumMod val="65000"/>
        <a:lumOff val="35000"/>
      </a:schemeClr>
    </cs:fontRef>
    <cs:spPr>
      <a:solidFill>
        <a:schemeClr val="dk1">
          <a:lumMod val="15000"/>
          <a:lumOff val="85000"/>
        </a:schemeClr>
      </a:solidFill>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tx1"/>
    </cs:fontRef>
    <cs:spPr>
      <a:solidFill>
        <a:schemeClr val="phClr">
          <a:alpha val="10196"/>
        </a:schemeClr>
      </a:solidFill>
      <a:ln w="50800">
        <a:solidFill>
          <a:schemeClr val="phClr">
            <a:alpha val="30000"/>
          </a:schemeClr>
        </a:solidFill>
      </a:ln>
    </cs:spPr>
  </cs:dataPoint>
  <cs:dataPoint3D>
    <cs:lnRef idx="0">
      <cs:styleClr val="auto"/>
    </cs:lnRef>
    <cs:fillRef idx="0">
      <cs:styleClr val="auto"/>
    </cs:fillRef>
    <cs:effectRef idx="0"/>
    <cs:fontRef idx="minor">
      <a:schemeClr val="tx1"/>
    </cs:fontRef>
    <cs:spPr>
      <a:solidFill>
        <a:schemeClr val="phClr">
          <a:alpha val="10196"/>
        </a:schemeClr>
      </a:solidFill>
      <a:ln w="50800">
        <a:solidFill>
          <a:schemeClr val="phClr">
            <a:alpha val="30000"/>
          </a:schemeClr>
        </a:solidFill>
      </a:ln>
    </cs:spPr>
  </cs:dataPoint3D>
  <cs:dataPointLine>
    <cs:lnRef idx="0">
      <cs:styleClr val="auto"/>
    </cs:lnRef>
    <cs:fillRef idx="0"/>
    <cs:effectRef idx="0"/>
    <cs:fontRef idx="minor">
      <a:schemeClr val="tx1"/>
    </cs:fontRef>
    <cs:spPr>
      <a:ln w="50800" cap="rnd" cmpd="sng" algn="ctr">
        <a:solidFill>
          <a:schemeClr val="phClr">
            <a:alpha val="30000"/>
          </a:schemeClr>
        </a:solidFill>
        <a:round/>
      </a:ln>
    </cs:spPr>
  </cs:dataPointLine>
  <cs:dataPointMarker>
    <cs:lnRef idx="0"/>
    <cs:fillRef idx="0">
      <cs:styleClr val="auto"/>
    </cs:fillRef>
    <cs:effectRef idx="0"/>
    <cs:fontRef idx="minor">
      <a:schemeClr val="tx1"/>
    </cs:fontRef>
    <cs:spPr>
      <a:solidFill>
        <a:schemeClr val="phClr"/>
      </a:solidFill>
      <a:ln w="12700" cap="flat" cmpd="sng" algn="ctr">
        <a:solidFill>
          <a:schemeClr val="lt1"/>
        </a:solidFill>
        <a:round/>
      </a:ln>
    </cs:spPr>
  </cs:dataPointMarker>
  <cs:dataPointMarkerLayout symbol="circle" size="4"/>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dk1">
        <a:lumMod val="50000"/>
        <a:lumOff val="50000"/>
      </a:schemeClr>
    </cs:fontRef>
    <cs:spPr>
      <a:ln w="9525" cap="rnd">
        <a:solidFill>
          <a:schemeClr val="dk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a:solidFill>
          <a:schemeClr val="dk1">
            <a:lumMod val="50000"/>
            <a:lumOff val="50000"/>
          </a:schemeClr>
        </a:solidFill>
      </a:ln>
    </cs:spPr>
  </cs:downBar>
  <cs:dropLine>
    <cs:lnRef idx="0"/>
    <cs:fillRef idx="0"/>
    <cs:effectRef idx="0"/>
    <cs:fontRef idx="minor">
      <a:schemeClr val="tx1"/>
    </cs:fontRef>
    <cs:spPr>
      <a:ln w="9525">
        <a:solidFill>
          <a:schemeClr val="dk1">
            <a:lumMod val="35000"/>
            <a:lumOff val="65000"/>
          </a:schemeClr>
        </a:solidFill>
      </a:ln>
    </cs:spPr>
  </cs:dropLine>
  <cs:errorBar>
    <cs:lnRef idx="0"/>
    <cs:fillRef idx="0"/>
    <cs:effectRef idx="0"/>
    <cs:fontRef idx="minor">
      <a:schemeClr val="tx1"/>
    </cs:fontRef>
    <cs:spPr>
      <a:ln w="9525">
        <a:solidFill>
          <a:schemeClr val="dk1">
            <a:lumMod val="50000"/>
            <a:lumOff val="50000"/>
          </a:schemeClr>
        </a:solidFill>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15000"/>
            <a:lumOff val="85000"/>
          </a:schemeClr>
        </a:solidFill>
        <a:round/>
      </a:ln>
    </cs:spPr>
  </cs:gridlineMajor>
  <cs:gridlineMinor>
    <cs:lnRef idx="0"/>
    <cs:fillRef idx="0"/>
    <cs:effectRef idx="0"/>
    <cs:fontRef idx="minor">
      <a:schemeClr val="tx1"/>
    </cs:fontRef>
    <cs:spPr>
      <a:ln w="9525" cap="flat" cmpd="sng" algn="ctr">
        <a:solidFill>
          <a:schemeClr val="dk1">
            <a:lumMod val="5000"/>
            <a:lumOff val="95000"/>
          </a:schemeClr>
        </a:solidFill>
        <a:round/>
      </a:ln>
    </cs:spPr>
  </cs:gridlineMinor>
  <cs:hiLoLine>
    <cs:lnRef idx="0"/>
    <cs:fillRef idx="0"/>
    <cs:effectRef idx="0"/>
    <cs:fontRef idx="minor">
      <a:schemeClr val="tx1"/>
    </cs:fontRef>
    <cs:spPr>
      <a:ln w="9525">
        <a:solidFill>
          <a:schemeClr val="dk1">
            <a:lumMod val="35000"/>
            <a:lumOff val="65000"/>
          </a:schemeClr>
        </a:solidFill>
      </a:ln>
    </cs:spPr>
  </cs:hiLoLine>
  <cs:leaderLine>
    <cs:lnRef idx="0"/>
    <cs:fillRef idx="0"/>
    <cs:effectRef idx="0"/>
    <cs:fontRef idx="minor">
      <a:schemeClr val="tx1"/>
    </cs:fontRef>
    <cs:spPr>
      <a:ln w="9525">
        <a:solidFill>
          <a:schemeClr val="dk1">
            <a:lumMod val="35000"/>
            <a:lumOff val="65000"/>
          </a:schemeClr>
        </a:solidFill>
      </a:ln>
    </cs:spPr>
  </cs:leaderLine>
  <cs:legend>
    <cs:lnRef idx="0"/>
    <cs:fillRef idx="0"/>
    <cs:effectRef idx="0"/>
    <cs:fontRef idx="minor">
      <a:schemeClr val="dk1">
        <a:lumMod val="50000"/>
        <a:lumOff val="50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tx1">
        <a:lumMod val="50000"/>
        <a:lumOff val="50000"/>
      </a:schemeClr>
    </cs:fontRef>
    <cs:spPr>
      <a:ln w="9525">
        <a:solidFill>
          <a:schemeClr val="dk1">
            <a:lumMod val="15000"/>
            <a:lumOff val="85000"/>
          </a:schemeClr>
        </a:solidFill>
      </a:ln>
    </cs:spPr>
    <cs:defRPr sz="900" kern="1200"/>
  </cs:seriesAxis>
  <cs:seriesLine>
    <cs:lnRef idx="0"/>
    <cs:fillRef idx="0"/>
    <cs:effectRef idx="0"/>
    <cs:fontRef idx="minor">
      <a:schemeClr val="tx1"/>
    </cs:fontRef>
    <cs:spPr>
      <a:ln w="9525">
        <a:solidFill>
          <a:schemeClr val="dk1">
            <a:lumMod val="35000"/>
            <a:lumOff val="65000"/>
          </a:schemeClr>
        </a:solidFill>
      </a:ln>
    </cs:spPr>
  </cs:seriesLine>
  <cs:title>
    <cs:lnRef idx="0"/>
    <cs:fillRef idx="0"/>
    <cs:effectRef idx="0"/>
    <cs:fontRef idx="minor">
      <a:schemeClr val="dk1">
        <a:lumMod val="50000"/>
        <a:lumOff val="50000"/>
      </a:schemeClr>
    </cs:fontRef>
    <cs:defRPr sz="1600" b="0" kern="1200" spc="70" baseline="0"/>
  </cs:title>
  <cs:trendline>
    <cs:lnRef idx="0">
      <cs:styleClr val="0"/>
    </cs:lnRef>
    <cs:fillRef idx="0"/>
    <cs:effectRef idx="0"/>
    <cs:fontRef idx="minor">
      <a:schemeClr val="tx1"/>
    </cs:fontRef>
    <cs:spPr>
      <a:ln w="63500" cap="rnd" cmpd="sng" algn="ctr">
        <a:solidFill>
          <a:schemeClr val="phClr">
            <a:alpha val="25000"/>
          </a:schemeClr>
        </a:solidFill>
        <a:round/>
      </a:ln>
    </cs:spPr>
  </cs:trendline>
  <cs:trendlineLabel>
    <cs:lnRef idx="0"/>
    <cs:fillRef idx="0"/>
    <cs:effectRef idx="0"/>
    <cs:fontRef idx="minor">
      <a:schemeClr val="dk1">
        <a:lumMod val="50000"/>
        <a:lumOff val="50000"/>
      </a:schemeClr>
    </cs:fontRef>
    <cs:defRPr sz="900" kern="1200"/>
  </cs:trendlineLabel>
  <cs:upBar>
    <cs:lnRef idx="0"/>
    <cs:fillRef idx="0"/>
    <cs:effectRef idx="0"/>
    <cs:fontRef idx="minor">
      <a:schemeClr val="tx1"/>
    </cs:fontRef>
    <cs:spPr>
      <a:solidFill>
        <a:schemeClr val="lt1"/>
      </a:solidFill>
      <a:ln w="9525">
        <a:solidFill>
          <a:schemeClr val="dk1">
            <a:lumMod val="50000"/>
            <a:lumOff val="50000"/>
          </a:schemeClr>
        </a:solidFill>
      </a:ln>
    </cs:spPr>
  </cs:upBar>
  <cs:valueAxis>
    <cs:lnRef idx="0"/>
    <cs:fillRef idx="0"/>
    <cs:effectRef idx="0"/>
    <cs:fontRef idx="minor">
      <a:schemeClr val="dk1">
        <a:lumMod val="50000"/>
        <a:lumOff val="50000"/>
      </a:schemeClr>
    </cs:fontRef>
    <cs:defRPr sz="900" kern="1200"/>
  </cs:valueAxis>
  <cs:wall>
    <cs:lnRef idx="0"/>
    <cs:fillRef idx="0"/>
    <cs:effectRef idx="0"/>
    <cs:fontRef idx="minor">
      <a:schemeClr val="tx1"/>
    </cs:fontRef>
  </cs:wall>
</cs:chartStyle>
</file>

<file path=word/charts/style6.xml><?xml version="1.0" encoding="utf-8"?>
<cs:chartStyle xmlns:cs="http://schemas.microsoft.com/office/drawing/2012/chartStyle" xmlns:a="http://schemas.openxmlformats.org/drawingml/2006/main" id="319">
  <cs:axisTitle>
    <cs:lnRef idx="0"/>
    <cs:fillRef idx="0"/>
    <cs:effectRef idx="0"/>
    <cs:fontRef idx="minor">
      <a:schemeClr val="dk1">
        <a:lumMod val="50000"/>
        <a:lumOff val="50000"/>
      </a:schemeClr>
    </cs:fontRef>
    <cs:defRPr sz="900" b="1" kern="1200"/>
  </cs:axisTitle>
  <cs:categoryAxis>
    <cs:lnRef idx="0"/>
    <cs:fillRef idx="0"/>
    <cs:effectRef idx="0"/>
    <cs:fontRef idx="minor">
      <a:schemeClr val="dk1">
        <a:lumMod val="50000"/>
        <a:lumOff val="50000"/>
      </a:schemeClr>
    </cs:fontRef>
    <cs:spPr>
      <a:ln w="9525" cap="flat" cmpd="sng" algn="ctr">
        <a:solidFill>
          <a:schemeClr val="dk1">
            <a:lumMod val="15000"/>
            <a:lumOff val="85000"/>
          </a:schemeClr>
        </a:solidFill>
        <a:round/>
      </a:ln>
    </cs:spPr>
    <cs:defRPr sz="900" kern="1200"/>
  </cs:categoryAxis>
  <cs:chartArea>
    <cs:lnRef idx="0"/>
    <cs:fillRef idx="0"/>
    <cs:effectRef idx="0"/>
    <cs:fontRef idx="minor">
      <a:schemeClr val="dk1"/>
    </cs:fontRef>
    <cs:spPr>
      <a:gradFill flip="none" rotWithShape="1">
        <a:gsLst>
          <a:gs pos="100000">
            <a:schemeClr val="lt1">
              <a:lumMod val="95000"/>
            </a:schemeClr>
          </a:gs>
          <a:gs pos="43000">
            <a:schemeClr val="lt1"/>
          </a:gs>
        </a:gsLst>
        <a:path path="circle">
          <a:fillToRect l="50000" t="50000" r="50000" b="50000"/>
        </a:path>
        <a:tileRect/>
      </a:gra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50000"/>
        <a:lumOff val="50000"/>
      </a:schemeClr>
    </cs:fontRef>
    <cs:defRPr sz="900" kern="1200"/>
  </cs:dataLabel>
  <cs:dataLabelCallout>
    <cs:lnRef idx="0"/>
    <cs:fillRef idx="0"/>
    <cs:effectRef idx="0"/>
    <cs:fontRef idx="minor">
      <a:schemeClr val="dk1">
        <a:lumMod val="65000"/>
        <a:lumOff val="35000"/>
      </a:schemeClr>
    </cs:fontRef>
    <cs:spPr>
      <a:solidFill>
        <a:schemeClr val="dk1">
          <a:lumMod val="15000"/>
          <a:lumOff val="85000"/>
        </a:schemeClr>
      </a:solidFill>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tx1"/>
    </cs:fontRef>
    <cs:spPr>
      <a:solidFill>
        <a:schemeClr val="phClr">
          <a:alpha val="10196"/>
        </a:schemeClr>
      </a:solidFill>
      <a:ln w="50800">
        <a:solidFill>
          <a:schemeClr val="phClr">
            <a:alpha val="30000"/>
          </a:schemeClr>
        </a:solidFill>
      </a:ln>
    </cs:spPr>
  </cs:dataPoint>
  <cs:dataPoint3D>
    <cs:lnRef idx="0">
      <cs:styleClr val="auto"/>
    </cs:lnRef>
    <cs:fillRef idx="0">
      <cs:styleClr val="auto"/>
    </cs:fillRef>
    <cs:effectRef idx="0"/>
    <cs:fontRef idx="minor">
      <a:schemeClr val="tx1"/>
    </cs:fontRef>
    <cs:spPr>
      <a:solidFill>
        <a:schemeClr val="phClr">
          <a:alpha val="10196"/>
        </a:schemeClr>
      </a:solidFill>
      <a:ln w="50800">
        <a:solidFill>
          <a:schemeClr val="phClr">
            <a:alpha val="30000"/>
          </a:schemeClr>
        </a:solidFill>
      </a:ln>
    </cs:spPr>
  </cs:dataPoint3D>
  <cs:dataPointLine>
    <cs:lnRef idx="0">
      <cs:styleClr val="auto"/>
    </cs:lnRef>
    <cs:fillRef idx="0"/>
    <cs:effectRef idx="0"/>
    <cs:fontRef idx="minor">
      <a:schemeClr val="tx1"/>
    </cs:fontRef>
    <cs:spPr>
      <a:ln w="50800" cap="rnd" cmpd="sng" algn="ctr">
        <a:solidFill>
          <a:schemeClr val="phClr">
            <a:alpha val="30000"/>
          </a:schemeClr>
        </a:solidFill>
        <a:round/>
      </a:ln>
    </cs:spPr>
  </cs:dataPointLine>
  <cs:dataPointMarker>
    <cs:lnRef idx="0"/>
    <cs:fillRef idx="0">
      <cs:styleClr val="auto"/>
    </cs:fillRef>
    <cs:effectRef idx="0"/>
    <cs:fontRef idx="minor">
      <a:schemeClr val="tx1"/>
    </cs:fontRef>
    <cs:spPr>
      <a:solidFill>
        <a:schemeClr val="phClr"/>
      </a:solidFill>
      <a:ln w="12700" cap="flat" cmpd="sng" algn="ctr">
        <a:solidFill>
          <a:schemeClr val="lt1"/>
        </a:solidFill>
        <a:round/>
      </a:ln>
    </cs:spPr>
  </cs:dataPointMarker>
  <cs:dataPointMarkerLayout symbol="circle" size="4"/>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dk1">
        <a:lumMod val="50000"/>
        <a:lumOff val="50000"/>
      </a:schemeClr>
    </cs:fontRef>
    <cs:spPr>
      <a:ln w="9525" cap="rnd">
        <a:solidFill>
          <a:schemeClr val="dk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a:solidFill>
          <a:schemeClr val="dk1">
            <a:lumMod val="50000"/>
            <a:lumOff val="50000"/>
          </a:schemeClr>
        </a:solidFill>
      </a:ln>
    </cs:spPr>
  </cs:downBar>
  <cs:dropLine>
    <cs:lnRef idx="0"/>
    <cs:fillRef idx="0"/>
    <cs:effectRef idx="0"/>
    <cs:fontRef idx="minor">
      <a:schemeClr val="tx1"/>
    </cs:fontRef>
    <cs:spPr>
      <a:ln w="9525">
        <a:solidFill>
          <a:schemeClr val="dk1">
            <a:lumMod val="35000"/>
            <a:lumOff val="65000"/>
          </a:schemeClr>
        </a:solidFill>
      </a:ln>
    </cs:spPr>
  </cs:dropLine>
  <cs:errorBar>
    <cs:lnRef idx="0"/>
    <cs:fillRef idx="0"/>
    <cs:effectRef idx="0"/>
    <cs:fontRef idx="minor">
      <a:schemeClr val="tx1"/>
    </cs:fontRef>
    <cs:spPr>
      <a:ln w="9525">
        <a:solidFill>
          <a:schemeClr val="dk1">
            <a:lumMod val="50000"/>
            <a:lumOff val="50000"/>
          </a:schemeClr>
        </a:solidFill>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15000"/>
            <a:lumOff val="85000"/>
          </a:schemeClr>
        </a:solidFill>
        <a:round/>
      </a:ln>
    </cs:spPr>
  </cs:gridlineMajor>
  <cs:gridlineMinor>
    <cs:lnRef idx="0"/>
    <cs:fillRef idx="0"/>
    <cs:effectRef idx="0"/>
    <cs:fontRef idx="minor">
      <a:schemeClr val="tx1"/>
    </cs:fontRef>
    <cs:spPr>
      <a:ln w="9525" cap="flat" cmpd="sng" algn="ctr">
        <a:solidFill>
          <a:schemeClr val="dk1">
            <a:lumMod val="5000"/>
            <a:lumOff val="95000"/>
          </a:schemeClr>
        </a:solidFill>
        <a:round/>
      </a:ln>
    </cs:spPr>
  </cs:gridlineMinor>
  <cs:hiLoLine>
    <cs:lnRef idx="0"/>
    <cs:fillRef idx="0"/>
    <cs:effectRef idx="0"/>
    <cs:fontRef idx="minor">
      <a:schemeClr val="tx1"/>
    </cs:fontRef>
    <cs:spPr>
      <a:ln w="9525">
        <a:solidFill>
          <a:schemeClr val="dk1">
            <a:lumMod val="35000"/>
            <a:lumOff val="65000"/>
          </a:schemeClr>
        </a:solidFill>
      </a:ln>
    </cs:spPr>
  </cs:hiLoLine>
  <cs:leaderLine>
    <cs:lnRef idx="0"/>
    <cs:fillRef idx="0"/>
    <cs:effectRef idx="0"/>
    <cs:fontRef idx="minor">
      <a:schemeClr val="tx1"/>
    </cs:fontRef>
    <cs:spPr>
      <a:ln w="9525">
        <a:solidFill>
          <a:schemeClr val="dk1">
            <a:lumMod val="35000"/>
            <a:lumOff val="65000"/>
          </a:schemeClr>
        </a:solidFill>
      </a:ln>
    </cs:spPr>
  </cs:leaderLine>
  <cs:legend>
    <cs:lnRef idx="0"/>
    <cs:fillRef idx="0"/>
    <cs:effectRef idx="0"/>
    <cs:fontRef idx="minor">
      <a:schemeClr val="dk1">
        <a:lumMod val="50000"/>
        <a:lumOff val="50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tx1">
        <a:lumMod val="50000"/>
        <a:lumOff val="50000"/>
      </a:schemeClr>
    </cs:fontRef>
    <cs:spPr>
      <a:ln w="9525">
        <a:solidFill>
          <a:schemeClr val="dk1">
            <a:lumMod val="15000"/>
            <a:lumOff val="85000"/>
          </a:schemeClr>
        </a:solidFill>
      </a:ln>
    </cs:spPr>
    <cs:defRPr sz="900" kern="1200"/>
  </cs:seriesAxis>
  <cs:seriesLine>
    <cs:lnRef idx="0"/>
    <cs:fillRef idx="0"/>
    <cs:effectRef idx="0"/>
    <cs:fontRef idx="minor">
      <a:schemeClr val="tx1"/>
    </cs:fontRef>
    <cs:spPr>
      <a:ln w="9525">
        <a:solidFill>
          <a:schemeClr val="dk1">
            <a:lumMod val="35000"/>
            <a:lumOff val="65000"/>
          </a:schemeClr>
        </a:solidFill>
      </a:ln>
    </cs:spPr>
  </cs:seriesLine>
  <cs:title>
    <cs:lnRef idx="0"/>
    <cs:fillRef idx="0"/>
    <cs:effectRef idx="0"/>
    <cs:fontRef idx="minor">
      <a:schemeClr val="dk1">
        <a:lumMod val="50000"/>
        <a:lumOff val="50000"/>
      </a:schemeClr>
    </cs:fontRef>
    <cs:defRPr sz="1600" b="0" kern="1200" spc="70" baseline="0"/>
  </cs:title>
  <cs:trendline>
    <cs:lnRef idx="0">
      <cs:styleClr val="0"/>
    </cs:lnRef>
    <cs:fillRef idx="0"/>
    <cs:effectRef idx="0"/>
    <cs:fontRef idx="minor">
      <a:schemeClr val="tx1"/>
    </cs:fontRef>
    <cs:spPr>
      <a:ln w="63500" cap="rnd" cmpd="sng" algn="ctr">
        <a:solidFill>
          <a:schemeClr val="phClr">
            <a:alpha val="25000"/>
          </a:schemeClr>
        </a:solidFill>
        <a:round/>
      </a:ln>
    </cs:spPr>
  </cs:trendline>
  <cs:trendlineLabel>
    <cs:lnRef idx="0"/>
    <cs:fillRef idx="0"/>
    <cs:effectRef idx="0"/>
    <cs:fontRef idx="minor">
      <a:schemeClr val="dk1">
        <a:lumMod val="50000"/>
        <a:lumOff val="50000"/>
      </a:schemeClr>
    </cs:fontRef>
    <cs:defRPr sz="900" kern="1200"/>
  </cs:trendlineLabel>
  <cs:upBar>
    <cs:lnRef idx="0"/>
    <cs:fillRef idx="0"/>
    <cs:effectRef idx="0"/>
    <cs:fontRef idx="minor">
      <a:schemeClr val="tx1"/>
    </cs:fontRef>
    <cs:spPr>
      <a:solidFill>
        <a:schemeClr val="lt1"/>
      </a:solidFill>
      <a:ln w="9525">
        <a:solidFill>
          <a:schemeClr val="dk1">
            <a:lumMod val="50000"/>
            <a:lumOff val="50000"/>
          </a:schemeClr>
        </a:solidFill>
      </a:ln>
    </cs:spPr>
  </cs:upBar>
  <cs:valueAxis>
    <cs:lnRef idx="0"/>
    <cs:fillRef idx="0"/>
    <cs:effectRef idx="0"/>
    <cs:fontRef idx="minor">
      <a:schemeClr val="dk1">
        <a:lumMod val="50000"/>
        <a:lumOff val="50000"/>
      </a:schemeClr>
    </cs:fontRef>
    <cs:defRPr sz="900" kern="1200"/>
  </cs:valueAxis>
  <cs:wall>
    <cs:lnRef idx="0"/>
    <cs:fillRef idx="0"/>
    <cs:effectRef idx="0"/>
    <cs:fontRef idx="minor">
      <a:schemeClr val="tx1"/>
    </cs:fontRef>
  </cs:wall>
</cs:chartStyl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98499-00D0-4033-85E1-2E7C67D06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995</TotalTime>
  <Pages>9</Pages>
  <Words>1480</Words>
  <Characters>8436</Characters>
  <Application>Microsoft Office Word</Application>
  <DocSecurity>0</DocSecurity>
  <Lines>70</Lines>
  <Paragraphs>19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ENCO Consulting</dc:creator>
  <cp:keywords/>
  <dc:description/>
  <cp:lastModifiedBy>ENCO Consulting</cp:lastModifiedBy>
  <cp:revision>23</cp:revision>
  <dcterms:created xsi:type="dcterms:W3CDTF">2023-06-19T14:51:00Z</dcterms:created>
  <dcterms:modified xsi:type="dcterms:W3CDTF">2023-06-20T12:33:00Z</dcterms:modified>
</cp:coreProperties>
</file>